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85D" w:rsidRDefault="00BA7515">
      <w:pPr>
        <w:pBdr>
          <w:top w:val="nil"/>
          <w:left w:val="nil"/>
          <w:bottom w:val="nil"/>
          <w:right w:val="nil"/>
          <w:between w:val="nil"/>
        </w:pBdr>
        <w:spacing w:after="120" w:line="276" w:lineRule="auto"/>
        <w:jc w:val="both"/>
        <w:rPr>
          <w:rFonts w:ascii="Arial" w:eastAsia="Arial" w:hAnsi="Arial" w:cs="Arial"/>
          <w:b/>
          <w:smallCaps/>
          <w:color w:val="2E75B5"/>
        </w:rPr>
      </w:pPr>
      <w:bookmarkStart w:id="0" w:name="_GoBack"/>
      <w:r>
        <w:rPr>
          <w:rFonts w:ascii="Arial" w:eastAsia="Arial" w:hAnsi="Arial" w:cs="Arial"/>
          <w:b/>
          <w:smallCaps/>
          <w:color w:val="2E75B5"/>
        </w:rPr>
        <w:t>EFEITO DA SUPLEMENTAÇÃO DE TRIBULUS TERRESTRIS NA COMPOSIÇÃO CORPORAL E DESEMPENHO DE MULHERES JOVENS PRATICANTES DE MUSCULAÇÃO</w:t>
      </w:r>
    </w:p>
    <w:bookmarkEnd w:id="0"/>
    <w:p w:rsidR="0045285D" w:rsidRDefault="00BA7515">
      <w:pPr>
        <w:pBdr>
          <w:top w:val="nil"/>
          <w:left w:val="nil"/>
          <w:bottom w:val="nil"/>
          <w:right w:val="nil"/>
          <w:between w:val="nil"/>
        </w:pBdr>
        <w:spacing w:before="120"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Leticia </w:t>
      </w:r>
      <w:proofErr w:type="spellStart"/>
      <w:r>
        <w:rPr>
          <w:rFonts w:ascii="Arial" w:eastAsia="Arial" w:hAnsi="Arial" w:cs="Arial"/>
          <w:color w:val="000000"/>
          <w:sz w:val="20"/>
          <w:szCs w:val="20"/>
        </w:rPr>
        <w:t>Campanharo</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Tedorenko</w:t>
      </w:r>
      <w:proofErr w:type="spellEnd"/>
      <w:r>
        <w:rPr>
          <w:rFonts w:ascii="Arial" w:eastAsia="Arial" w:hAnsi="Arial" w:cs="Arial"/>
          <w:color w:val="000000"/>
          <w:sz w:val="20"/>
          <w:szCs w:val="20"/>
        </w:rPr>
        <w:t xml:space="preserve"> (IC) e Erico </w:t>
      </w:r>
      <w:proofErr w:type="spellStart"/>
      <w:r>
        <w:rPr>
          <w:rFonts w:ascii="Arial" w:eastAsia="Arial" w:hAnsi="Arial" w:cs="Arial"/>
          <w:color w:val="000000"/>
          <w:sz w:val="20"/>
          <w:szCs w:val="20"/>
        </w:rPr>
        <w:t>Caperuto</w:t>
      </w:r>
      <w:proofErr w:type="spellEnd"/>
      <w:r>
        <w:rPr>
          <w:rFonts w:ascii="Arial" w:eastAsia="Arial" w:hAnsi="Arial" w:cs="Arial"/>
          <w:color w:val="000000"/>
          <w:sz w:val="20"/>
          <w:szCs w:val="20"/>
        </w:rPr>
        <w:t xml:space="preserve"> (Orientador) </w:t>
      </w:r>
    </w:p>
    <w:p w:rsidR="0045285D" w:rsidRDefault="00BA7515">
      <w:pPr>
        <w:pBdr>
          <w:top w:val="nil"/>
          <w:left w:val="nil"/>
          <w:bottom w:val="nil"/>
          <w:right w:val="nil"/>
          <w:between w:val="nil"/>
        </w:pBdr>
        <w:spacing w:before="120" w:after="0" w:line="240" w:lineRule="auto"/>
        <w:jc w:val="both"/>
        <w:rPr>
          <w:rFonts w:ascii="Arial" w:eastAsia="Arial" w:hAnsi="Arial" w:cs="Arial"/>
          <w:b/>
          <w:color w:val="000000"/>
          <w:sz w:val="20"/>
          <w:szCs w:val="20"/>
        </w:rPr>
      </w:pPr>
      <w:proofErr w:type="spellStart"/>
      <w:r>
        <w:rPr>
          <w:rFonts w:ascii="Arial" w:eastAsia="Arial" w:hAnsi="Arial" w:cs="Arial"/>
          <w:b/>
          <w:color w:val="000000"/>
          <w:sz w:val="20"/>
          <w:szCs w:val="20"/>
        </w:rPr>
        <w:t>Apoio:PIBIC</w:t>
      </w:r>
      <w:proofErr w:type="spellEnd"/>
      <w:r>
        <w:rPr>
          <w:rFonts w:ascii="Arial" w:eastAsia="Arial" w:hAnsi="Arial" w:cs="Arial"/>
          <w:b/>
          <w:color w:val="000000"/>
          <w:sz w:val="20"/>
          <w:szCs w:val="20"/>
        </w:rPr>
        <w:t xml:space="preserve"> Mackenzie</w:t>
      </w:r>
    </w:p>
    <w:p w:rsidR="0045285D" w:rsidRDefault="0045285D"/>
    <w:p w:rsidR="0045285D" w:rsidRDefault="00BA7515">
      <w:pPr>
        <w:spacing w:before="240" w:after="240" w:line="360" w:lineRule="auto"/>
        <w:rPr>
          <w:rFonts w:ascii="Arial" w:eastAsia="Arial" w:hAnsi="Arial" w:cs="Arial"/>
          <w:sz w:val="24"/>
          <w:szCs w:val="24"/>
        </w:rPr>
      </w:pPr>
      <w:r>
        <w:rPr>
          <w:rFonts w:ascii="Arial" w:eastAsia="Arial" w:hAnsi="Arial" w:cs="Arial"/>
          <w:b/>
          <w:sz w:val="24"/>
          <w:szCs w:val="24"/>
        </w:rPr>
        <w:t>RESUMO</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b/>
          <w:sz w:val="24"/>
          <w:szCs w:val="24"/>
        </w:rPr>
        <w:t>Introdução:</w:t>
      </w:r>
      <w:r>
        <w:rPr>
          <w:rFonts w:ascii="Arial" w:eastAsia="Arial" w:hAnsi="Arial" w:cs="Arial"/>
          <w:sz w:val="24"/>
          <w:szCs w:val="24"/>
        </w:rPr>
        <w:t xml:space="preserve"> O </w:t>
      </w:r>
      <w:proofErr w:type="spellStart"/>
      <w:r>
        <w:rPr>
          <w:rFonts w:ascii="Arial" w:eastAsia="Arial" w:hAnsi="Arial" w:cs="Arial"/>
          <w:i/>
          <w:sz w:val="24"/>
          <w:szCs w:val="24"/>
        </w:rPr>
        <w:t>Tribulus</w:t>
      </w:r>
      <w:proofErr w:type="spellEnd"/>
      <w:r>
        <w:rPr>
          <w:rFonts w:ascii="Arial" w:eastAsia="Arial" w:hAnsi="Arial" w:cs="Arial"/>
          <w:i/>
          <w:sz w:val="24"/>
          <w:szCs w:val="24"/>
        </w:rPr>
        <w:t xml:space="preserve"> </w:t>
      </w:r>
      <w:proofErr w:type="spellStart"/>
      <w:r>
        <w:rPr>
          <w:rFonts w:ascii="Arial" w:eastAsia="Arial" w:hAnsi="Arial" w:cs="Arial"/>
          <w:i/>
          <w:sz w:val="24"/>
          <w:szCs w:val="24"/>
        </w:rPr>
        <w:t>terrestris</w:t>
      </w:r>
      <w:proofErr w:type="spellEnd"/>
      <w:r>
        <w:rPr>
          <w:rFonts w:ascii="Arial" w:eastAsia="Arial" w:hAnsi="Arial" w:cs="Arial"/>
          <w:sz w:val="24"/>
          <w:szCs w:val="24"/>
        </w:rPr>
        <w:t xml:space="preserve"> (TT) é uma planta amplamente utilizada na medicina tradicional Chinesa e Indiana. </w:t>
      </w:r>
      <w:r>
        <w:rPr>
          <w:rFonts w:ascii="Arial" w:eastAsia="Arial" w:hAnsi="Arial" w:cs="Arial"/>
          <w:sz w:val="24"/>
          <w:szCs w:val="24"/>
          <w:highlight w:val="white"/>
        </w:rPr>
        <w:t xml:space="preserve">No esporte, </w:t>
      </w:r>
      <w:r>
        <w:rPr>
          <w:rFonts w:ascii="Arial" w:eastAsia="Arial" w:hAnsi="Arial" w:cs="Arial"/>
          <w:sz w:val="24"/>
          <w:szCs w:val="24"/>
        </w:rPr>
        <w:t>ganhou popularidade devido aos seus possíveis efeitos no aumento dos níveis de testosterona e consequente ganho de massa muscular e melhora do desempenho.</w:t>
      </w:r>
      <w:r>
        <w:rPr>
          <w:rFonts w:ascii="Arial" w:eastAsia="Arial" w:hAnsi="Arial" w:cs="Arial"/>
          <w:b/>
          <w:sz w:val="24"/>
          <w:szCs w:val="24"/>
        </w:rPr>
        <w:t xml:space="preserve"> Objetivo: </w:t>
      </w:r>
      <w:r>
        <w:rPr>
          <w:rFonts w:ascii="Arial" w:eastAsia="Arial" w:hAnsi="Arial" w:cs="Arial"/>
          <w:sz w:val="24"/>
          <w:szCs w:val="24"/>
        </w:rPr>
        <w:t xml:space="preserve">Testar a eficácia da suplementação com TT em relação às mudanças na composição corporal e desempenho na atividade física. </w:t>
      </w:r>
      <w:r>
        <w:rPr>
          <w:rFonts w:ascii="Arial" w:eastAsia="Arial" w:hAnsi="Arial" w:cs="Arial"/>
          <w:b/>
          <w:sz w:val="24"/>
          <w:szCs w:val="24"/>
        </w:rPr>
        <w:t xml:space="preserve">Métodos: </w:t>
      </w:r>
      <w:r>
        <w:rPr>
          <w:rFonts w:ascii="Arial" w:eastAsia="Arial" w:hAnsi="Arial" w:cs="Arial"/>
          <w:sz w:val="24"/>
          <w:szCs w:val="24"/>
        </w:rPr>
        <w:t xml:space="preserve">A amostra contou com 8 indivíduos do sexo feminino com idade média de 22,25 ± 2,25 anos que praticam musculação. A composição corporal foi avaliada através das dobras cutâneas, circunferências e exame de bioimpedância e o desempenho físico foi avaliado por testes de repetição máxima no supino e </w:t>
      </w:r>
      <w:proofErr w:type="spellStart"/>
      <w:r>
        <w:rPr>
          <w:rFonts w:ascii="Arial" w:eastAsia="Arial" w:hAnsi="Arial" w:cs="Arial"/>
          <w:sz w:val="24"/>
          <w:szCs w:val="24"/>
        </w:rPr>
        <w:t>Leg</w:t>
      </w:r>
      <w:proofErr w:type="spellEnd"/>
      <w:r>
        <w:rPr>
          <w:rFonts w:ascii="Arial" w:eastAsia="Arial" w:hAnsi="Arial" w:cs="Arial"/>
          <w:sz w:val="24"/>
          <w:szCs w:val="24"/>
        </w:rPr>
        <w:t xml:space="preserve"> </w:t>
      </w:r>
      <w:proofErr w:type="spellStart"/>
      <w:r>
        <w:rPr>
          <w:rFonts w:ascii="Arial" w:eastAsia="Arial" w:hAnsi="Arial" w:cs="Arial"/>
          <w:sz w:val="24"/>
          <w:szCs w:val="24"/>
        </w:rPr>
        <w:t>press</w:t>
      </w:r>
      <w:proofErr w:type="spellEnd"/>
      <w:r>
        <w:rPr>
          <w:rFonts w:ascii="Arial" w:eastAsia="Arial" w:hAnsi="Arial" w:cs="Arial"/>
          <w:sz w:val="24"/>
          <w:szCs w:val="24"/>
        </w:rPr>
        <w:t xml:space="preserve"> 45º. A suplementação foi realizada durante 45 dias e os testes para avaliação ocorreram uma vez antes e após a suplementação. </w:t>
      </w:r>
      <w:r>
        <w:rPr>
          <w:rFonts w:ascii="Arial" w:eastAsia="Arial" w:hAnsi="Arial" w:cs="Arial"/>
          <w:b/>
          <w:sz w:val="24"/>
          <w:szCs w:val="24"/>
        </w:rPr>
        <w:t xml:space="preserve">Resultados: </w:t>
      </w:r>
      <w:r>
        <w:rPr>
          <w:rFonts w:ascii="Arial" w:eastAsia="Arial" w:hAnsi="Arial" w:cs="Arial"/>
          <w:sz w:val="24"/>
          <w:szCs w:val="24"/>
        </w:rPr>
        <w:t xml:space="preserve">Não houve diferença significativa nos resultados encontrados através da bioimpedância. A dobra cutânea da coxa, o percentual de gordura corporal, a circunferência da cintura e da panturrilha diminuíram de forma significativa (p&lt;0,05). Registramos um aumento significativo (p&lt;0,05) no desempenho do </w:t>
      </w:r>
      <w:proofErr w:type="spellStart"/>
      <w:r>
        <w:rPr>
          <w:rFonts w:ascii="Arial" w:eastAsia="Arial" w:hAnsi="Arial" w:cs="Arial"/>
          <w:sz w:val="24"/>
          <w:szCs w:val="24"/>
        </w:rPr>
        <w:t>Leg</w:t>
      </w:r>
      <w:proofErr w:type="spellEnd"/>
      <w:r>
        <w:rPr>
          <w:rFonts w:ascii="Arial" w:eastAsia="Arial" w:hAnsi="Arial" w:cs="Arial"/>
          <w:sz w:val="24"/>
          <w:szCs w:val="24"/>
        </w:rPr>
        <w:t xml:space="preserve"> </w:t>
      </w:r>
      <w:proofErr w:type="spellStart"/>
      <w:r>
        <w:rPr>
          <w:rFonts w:ascii="Arial" w:eastAsia="Arial" w:hAnsi="Arial" w:cs="Arial"/>
          <w:sz w:val="24"/>
          <w:szCs w:val="24"/>
        </w:rPr>
        <w:t>press</w:t>
      </w:r>
      <w:proofErr w:type="spellEnd"/>
      <w:r>
        <w:rPr>
          <w:rFonts w:ascii="Arial" w:eastAsia="Arial" w:hAnsi="Arial" w:cs="Arial"/>
          <w:sz w:val="24"/>
          <w:szCs w:val="24"/>
        </w:rPr>
        <w:t xml:space="preserve"> 45 e Supino livre.</w:t>
      </w:r>
      <w:r>
        <w:rPr>
          <w:rFonts w:ascii="Arial" w:eastAsia="Arial" w:hAnsi="Arial" w:cs="Arial"/>
          <w:b/>
          <w:sz w:val="24"/>
          <w:szCs w:val="24"/>
        </w:rPr>
        <w:t xml:space="preserve"> Conclusão:  </w:t>
      </w:r>
      <w:r>
        <w:rPr>
          <w:rFonts w:ascii="Arial" w:eastAsia="Arial" w:hAnsi="Arial" w:cs="Arial"/>
          <w:sz w:val="24"/>
          <w:szCs w:val="24"/>
        </w:rPr>
        <w:t>A suplementação de TT associada ao treinamento de musculação promove alterações em alguns parâmetros de composição corporal e melhora o desempenho nos testes físicos. Os resultados encontrados podem ter sido observados por conta da realização de um protocolo de treinamento efetivo e um possível início de processo de ganho de massa muscular.</w:t>
      </w:r>
    </w:p>
    <w:p w:rsidR="0045285D" w:rsidRPr="000C1180" w:rsidRDefault="00BA7515">
      <w:pPr>
        <w:spacing w:before="240" w:after="240" w:line="360" w:lineRule="auto"/>
        <w:jc w:val="both"/>
        <w:rPr>
          <w:rFonts w:ascii="Arial" w:eastAsia="Arial" w:hAnsi="Arial" w:cs="Arial"/>
          <w:sz w:val="24"/>
          <w:szCs w:val="24"/>
          <w:lang w:val="en-US"/>
        </w:rPr>
      </w:pPr>
      <w:proofErr w:type="spellStart"/>
      <w:r>
        <w:rPr>
          <w:rFonts w:ascii="Arial" w:eastAsia="Arial" w:hAnsi="Arial" w:cs="Arial"/>
          <w:b/>
          <w:sz w:val="24"/>
          <w:szCs w:val="24"/>
        </w:rPr>
        <w:t>Palavras-chave:</w:t>
      </w:r>
      <w:r>
        <w:rPr>
          <w:rFonts w:ascii="Arial" w:eastAsia="Arial" w:hAnsi="Arial" w:cs="Arial"/>
          <w:i/>
          <w:sz w:val="24"/>
          <w:szCs w:val="24"/>
        </w:rPr>
        <w:t>Tribulus</w:t>
      </w:r>
      <w:proofErr w:type="spellEnd"/>
      <w:r>
        <w:rPr>
          <w:rFonts w:ascii="Arial" w:eastAsia="Arial" w:hAnsi="Arial" w:cs="Arial"/>
          <w:i/>
          <w:sz w:val="24"/>
          <w:szCs w:val="24"/>
        </w:rPr>
        <w:t xml:space="preserve"> </w:t>
      </w:r>
      <w:proofErr w:type="spellStart"/>
      <w:r>
        <w:rPr>
          <w:rFonts w:ascii="Arial" w:eastAsia="Arial" w:hAnsi="Arial" w:cs="Arial"/>
          <w:i/>
          <w:sz w:val="24"/>
          <w:szCs w:val="24"/>
        </w:rPr>
        <w:t>terrestris</w:t>
      </w:r>
      <w:proofErr w:type="spellEnd"/>
      <w:r>
        <w:rPr>
          <w:rFonts w:ascii="Arial" w:eastAsia="Arial" w:hAnsi="Arial" w:cs="Arial"/>
          <w:sz w:val="24"/>
          <w:szCs w:val="24"/>
        </w:rPr>
        <w:t xml:space="preserve">. Composição Corporal. </w:t>
      </w:r>
      <w:proofErr w:type="spellStart"/>
      <w:r w:rsidRPr="000C1180">
        <w:rPr>
          <w:rFonts w:ascii="Arial" w:eastAsia="Arial" w:hAnsi="Arial" w:cs="Arial"/>
          <w:sz w:val="24"/>
          <w:szCs w:val="24"/>
          <w:lang w:val="en-US"/>
        </w:rPr>
        <w:t>Desempenho</w:t>
      </w:r>
      <w:proofErr w:type="spellEnd"/>
      <w:r w:rsidRPr="000C1180">
        <w:rPr>
          <w:rFonts w:ascii="Arial" w:eastAsia="Arial" w:hAnsi="Arial" w:cs="Arial"/>
          <w:sz w:val="24"/>
          <w:szCs w:val="24"/>
          <w:lang w:val="en-US"/>
        </w:rPr>
        <w:t>.</w:t>
      </w:r>
    </w:p>
    <w:p w:rsidR="0045285D" w:rsidRPr="000C1180" w:rsidRDefault="0045285D">
      <w:pPr>
        <w:spacing w:before="240" w:after="240" w:line="360" w:lineRule="auto"/>
        <w:jc w:val="both"/>
        <w:rPr>
          <w:rFonts w:ascii="Arial" w:eastAsia="Arial" w:hAnsi="Arial" w:cs="Arial"/>
          <w:sz w:val="24"/>
          <w:szCs w:val="24"/>
          <w:lang w:val="en-US"/>
        </w:rPr>
      </w:pPr>
    </w:p>
    <w:p w:rsidR="00EC5A9F" w:rsidRPr="000C1180" w:rsidRDefault="00EC5A9F">
      <w:pPr>
        <w:spacing w:before="240" w:after="240" w:line="360" w:lineRule="auto"/>
        <w:jc w:val="both"/>
        <w:rPr>
          <w:rFonts w:ascii="Arial" w:eastAsia="Arial" w:hAnsi="Arial" w:cs="Arial"/>
          <w:sz w:val="24"/>
          <w:szCs w:val="24"/>
          <w:lang w:val="en-US"/>
        </w:rPr>
      </w:pPr>
    </w:p>
    <w:p w:rsidR="0045285D" w:rsidRPr="000C1180" w:rsidRDefault="0045285D">
      <w:pPr>
        <w:spacing w:before="240" w:after="240" w:line="360" w:lineRule="auto"/>
        <w:jc w:val="both"/>
        <w:rPr>
          <w:rFonts w:ascii="Arial" w:eastAsia="Arial" w:hAnsi="Arial" w:cs="Arial"/>
          <w:sz w:val="24"/>
          <w:szCs w:val="24"/>
          <w:lang w:val="en-US"/>
        </w:rPr>
      </w:pPr>
    </w:p>
    <w:p w:rsidR="0045285D" w:rsidRPr="000C1180" w:rsidRDefault="00BA7515">
      <w:pPr>
        <w:spacing w:before="240" w:after="240" w:line="360" w:lineRule="auto"/>
        <w:jc w:val="both"/>
        <w:rPr>
          <w:rFonts w:ascii="Arial" w:eastAsia="Arial" w:hAnsi="Arial" w:cs="Arial"/>
          <w:b/>
          <w:sz w:val="24"/>
          <w:szCs w:val="24"/>
          <w:lang w:val="en-US"/>
        </w:rPr>
      </w:pPr>
      <w:r w:rsidRPr="000C1180">
        <w:rPr>
          <w:rFonts w:ascii="Arial" w:eastAsia="Arial" w:hAnsi="Arial" w:cs="Arial"/>
          <w:b/>
          <w:sz w:val="24"/>
          <w:szCs w:val="24"/>
          <w:lang w:val="en-US"/>
        </w:rPr>
        <w:lastRenderedPageBreak/>
        <w:t>ABSTRACT</w:t>
      </w:r>
    </w:p>
    <w:p w:rsidR="0045285D" w:rsidRPr="000C1180" w:rsidRDefault="00BA7515">
      <w:pPr>
        <w:spacing w:before="240" w:after="240" w:line="360" w:lineRule="auto"/>
        <w:jc w:val="both"/>
        <w:rPr>
          <w:rFonts w:ascii="Arial" w:eastAsia="Arial" w:hAnsi="Arial" w:cs="Arial"/>
          <w:sz w:val="24"/>
          <w:szCs w:val="24"/>
          <w:lang w:val="en-US"/>
        </w:rPr>
      </w:pPr>
      <w:r w:rsidRPr="000C1180">
        <w:rPr>
          <w:rFonts w:ascii="Arial" w:eastAsia="Arial" w:hAnsi="Arial" w:cs="Arial"/>
          <w:b/>
          <w:sz w:val="24"/>
          <w:szCs w:val="24"/>
          <w:lang w:val="en-US"/>
        </w:rPr>
        <w:t>Introduction:</w:t>
      </w:r>
      <w:r w:rsidR="000C1180">
        <w:rPr>
          <w:rFonts w:ascii="Arial" w:eastAsia="Arial" w:hAnsi="Arial" w:cs="Arial"/>
          <w:b/>
          <w:sz w:val="24"/>
          <w:szCs w:val="24"/>
          <w:lang w:val="en-US"/>
        </w:rPr>
        <w:t xml:space="preserve"> </w:t>
      </w:r>
      <w:r w:rsidRPr="000C1180">
        <w:rPr>
          <w:rFonts w:ascii="Arial" w:eastAsia="Arial" w:hAnsi="Arial" w:cs="Arial"/>
          <w:i/>
          <w:sz w:val="24"/>
          <w:szCs w:val="24"/>
          <w:lang w:val="en-US"/>
        </w:rPr>
        <w:t xml:space="preserve">Tribulus </w:t>
      </w:r>
      <w:proofErr w:type="spellStart"/>
      <w:r w:rsidRPr="000C1180">
        <w:rPr>
          <w:rFonts w:ascii="Arial" w:eastAsia="Arial" w:hAnsi="Arial" w:cs="Arial"/>
          <w:i/>
          <w:sz w:val="24"/>
          <w:szCs w:val="24"/>
          <w:lang w:val="en-US"/>
        </w:rPr>
        <w:t>terrestris</w:t>
      </w:r>
      <w:proofErr w:type="spellEnd"/>
      <w:r w:rsidRPr="000C1180">
        <w:rPr>
          <w:rFonts w:ascii="Arial" w:eastAsia="Arial" w:hAnsi="Arial" w:cs="Arial"/>
          <w:sz w:val="24"/>
          <w:szCs w:val="24"/>
          <w:lang w:val="en-US"/>
        </w:rPr>
        <w:t xml:space="preserve"> (TT) is a plant widely used in traditional Chinese and Indian medicine. In sports, it has gained popularity due to its possible effects on increased testosterone levels and consequent gain in muscle mass and improved performance. </w:t>
      </w:r>
      <w:r w:rsidRPr="000C1180">
        <w:rPr>
          <w:rFonts w:ascii="Arial" w:eastAsia="Arial" w:hAnsi="Arial" w:cs="Arial"/>
          <w:b/>
          <w:sz w:val="24"/>
          <w:szCs w:val="24"/>
          <w:lang w:val="en-US"/>
        </w:rPr>
        <w:t>Objective:</w:t>
      </w:r>
      <w:r w:rsidRPr="000C1180">
        <w:rPr>
          <w:rFonts w:ascii="Arial" w:eastAsia="Arial" w:hAnsi="Arial" w:cs="Arial"/>
          <w:sz w:val="24"/>
          <w:szCs w:val="24"/>
          <w:lang w:val="en-US"/>
        </w:rPr>
        <w:t xml:space="preserve"> Test the efficacy of TT supplementation in relation to changes in body composition and physical activity performance. </w:t>
      </w:r>
      <w:r w:rsidRPr="000C1180">
        <w:rPr>
          <w:rFonts w:ascii="Arial" w:eastAsia="Arial" w:hAnsi="Arial" w:cs="Arial"/>
          <w:b/>
          <w:sz w:val="24"/>
          <w:szCs w:val="24"/>
          <w:lang w:val="en-US"/>
        </w:rPr>
        <w:t>Methods:</w:t>
      </w:r>
      <w:r w:rsidRPr="000C1180">
        <w:rPr>
          <w:rFonts w:ascii="Arial" w:eastAsia="Arial" w:hAnsi="Arial" w:cs="Arial"/>
          <w:sz w:val="24"/>
          <w:szCs w:val="24"/>
          <w:lang w:val="en-US"/>
        </w:rPr>
        <w:t xml:space="preserve"> The sample consisted of 8 female individuals with an average age of 22.25 ± 2.25 years who practice weight training. Body composition was evaluated through skinfolds, circumferences and bioimpedance examination. Physical performance was assessed by maximal bench press and 45º repetition tests. Supplementation was performed for 45 days and testing for evaluation occurred once before and after supplementation. </w:t>
      </w:r>
      <w:r w:rsidRPr="000C1180">
        <w:rPr>
          <w:rFonts w:ascii="Arial" w:eastAsia="Arial" w:hAnsi="Arial" w:cs="Arial"/>
          <w:b/>
          <w:sz w:val="24"/>
          <w:szCs w:val="24"/>
          <w:lang w:val="en-US"/>
        </w:rPr>
        <w:t xml:space="preserve">Results: </w:t>
      </w:r>
      <w:r w:rsidRPr="000C1180">
        <w:rPr>
          <w:rFonts w:ascii="Arial" w:eastAsia="Arial" w:hAnsi="Arial" w:cs="Arial"/>
          <w:sz w:val="24"/>
          <w:szCs w:val="24"/>
          <w:lang w:val="en-US"/>
        </w:rPr>
        <w:t xml:space="preserve">There was no significant difference in the results found through bioimpedance. The skinfold thickness, body fat percentage, waist and calf circumference decreased significantly (p &lt;0.05). There was a significant increase (p &lt;0.05) in the performance of Leg press 45 and Bench Press. </w:t>
      </w:r>
      <w:r w:rsidRPr="000C1180">
        <w:rPr>
          <w:rFonts w:ascii="Arial" w:eastAsia="Arial" w:hAnsi="Arial" w:cs="Arial"/>
          <w:b/>
          <w:sz w:val="24"/>
          <w:szCs w:val="24"/>
          <w:lang w:val="en-US"/>
        </w:rPr>
        <w:t>Conclusion:</w:t>
      </w:r>
      <w:r w:rsidRPr="000C1180">
        <w:rPr>
          <w:rFonts w:ascii="Arial" w:eastAsia="Arial" w:hAnsi="Arial" w:cs="Arial"/>
          <w:sz w:val="24"/>
          <w:szCs w:val="24"/>
          <w:lang w:val="en-US"/>
        </w:rPr>
        <w:t xml:space="preserve"> TT supplementation changes some parameters of the body composition and improves physical performance. The results might be observed due to an effective training protocol and the possible initiation of muscle mass gain process.</w:t>
      </w:r>
    </w:p>
    <w:p w:rsidR="0045285D" w:rsidRDefault="00BA7515">
      <w:pPr>
        <w:spacing w:before="240" w:after="240" w:line="360" w:lineRule="auto"/>
        <w:jc w:val="both"/>
        <w:rPr>
          <w:rFonts w:ascii="Arial" w:eastAsia="Arial" w:hAnsi="Arial" w:cs="Arial"/>
          <w:sz w:val="24"/>
          <w:szCs w:val="24"/>
        </w:rPr>
      </w:pPr>
      <w:r w:rsidRPr="000C1180">
        <w:rPr>
          <w:rFonts w:ascii="Arial" w:eastAsia="Arial" w:hAnsi="Arial" w:cs="Arial"/>
          <w:b/>
          <w:sz w:val="24"/>
          <w:szCs w:val="24"/>
          <w:lang w:val="en-US"/>
        </w:rPr>
        <w:t>Keywords:</w:t>
      </w:r>
      <w:r w:rsidRPr="000C1180">
        <w:rPr>
          <w:rFonts w:ascii="Arial" w:eastAsia="Arial" w:hAnsi="Arial" w:cs="Arial"/>
          <w:sz w:val="24"/>
          <w:szCs w:val="24"/>
          <w:lang w:val="en-US"/>
        </w:rPr>
        <w:t xml:space="preserve"> Tribulus </w:t>
      </w:r>
      <w:proofErr w:type="spellStart"/>
      <w:r w:rsidRPr="000C1180">
        <w:rPr>
          <w:rFonts w:ascii="Arial" w:eastAsia="Arial" w:hAnsi="Arial" w:cs="Arial"/>
          <w:sz w:val="24"/>
          <w:szCs w:val="24"/>
          <w:lang w:val="en-US"/>
        </w:rPr>
        <w:t>terrestris</w:t>
      </w:r>
      <w:proofErr w:type="spellEnd"/>
      <w:r w:rsidRPr="000C1180">
        <w:rPr>
          <w:rFonts w:ascii="Arial" w:eastAsia="Arial" w:hAnsi="Arial" w:cs="Arial"/>
          <w:sz w:val="24"/>
          <w:szCs w:val="24"/>
          <w:lang w:val="en-US"/>
        </w:rPr>
        <w:t xml:space="preserve">. Body composition. </w:t>
      </w:r>
      <w:r>
        <w:rPr>
          <w:rFonts w:ascii="Arial" w:eastAsia="Arial" w:hAnsi="Arial" w:cs="Arial"/>
          <w:sz w:val="24"/>
          <w:szCs w:val="24"/>
        </w:rPr>
        <w:t>Performance.</w:t>
      </w:r>
    </w:p>
    <w:p w:rsidR="0045285D" w:rsidRDefault="0045285D">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EC5A9F" w:rsidRDefault="00EC5A9F">
      <w:pPr>
        <w:spacing w:before="240" w:after="240" w:line="360" w:lineRule="auto"/>
        <w:jc w:val="both"/>
        <w:rPr>
          <w:rFonts w:ascii="Arial" w:eastAsia="Arial" w:hAnsi="Arial" w:cs="Arial"/>
          <w:sz w:val="24"/>
          <w:szCs w:val="24"/>
        </w:rPr>
      </w:pPr>
    </w:p>
    <w:p w:rsidR="0045285D" w:rsidRDefault="0045285D">
      <w:pPr>
        <w:spacing w:before="240" w:after="240" w:line="360" w:lineRule="auto"/>
        <w:jc w:val="both"/>
        <w:rPr>
          <w:rFonts w:ascii="Arial" w:eastAsia="Arial" w:hAnsi="Arial" w:cs="Arial"/>
          <w:sz w:val="24"/>
          <w:szCs w:val="24"/>
        </w:rPr>
      </w:pPr>
    </w:p>
    <w:p w:rsidR="0045285D" w:rsidRDefault="00BA7515">
      <w:pPr>
        <w:spacing w:before="240" w:after="240" w:line="360" w:lineRule="auto"/>
        <w:jc w:val="both"/>
        <w:rPr>
          <w:rFonts w:ascii="Arial" w:eastAsia="Arial" w:hAnsi="Arial" w:cs="Arial"/>
          <w:b/>
          <w:sz w:val="24"/>
          <w:szCs w:val="24"/>
        </w:rPr>
      </w:pPr>
      <w:r>
        <w:rPr>
          <w:rFonts w:ascii="Arial" w:eastAsia="Arial" w:hAnsi="Arial" w:cs="Arial"/>
          <w:b/>
          <w:sz w:val="24"/>
          <w:szCs w:val="24"/>
        </w:rPr>
        <w:lastRenderedPageBreak/>
        <w:t>1. INTRODUÇÃO</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1.1 PROBLEMA DE PESQUISA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Atualmente, a prática de atividades físicas e a busca por um físico melhor estão cada vez mais comuns. Com o objetivo de obter melhores resultados, as pessoas buscam por recursos </w:t>
      </w:r>
      <w:proofErr w:type="spellStart"/>
      <w:r>
        <w:rPr>
          <w:rFonts w:ascii="Arial" w:eastAsia="Arial" w:hAnsi="Arial" w:cs="Arial"/>
          <w:sz w:val="24"/>
          <w:szCs w:val="24"/>
        </w:rPr>
        <w:t>ergogênicos</w:t>
      </w:r>
      <w:proofErr w:type="spellEnd"/>
      <w:r>
        <w:rPr>
          <w:rFonts w:ascii="Arial" w:eastAsia="Arial" w:hAnsi="Arial" w:cs="Arial"/>
          <w:sz w:val="24"/>
          <w:szCs w:val="24"/>
        </w:rPr>
        <w:t>, o que inclui a suplementação alimentar ou até mesmo a utilização de plantas e ervas.</w:t>
      </w:r>
    </w:p>
    <w:p w:rsidR="0045285D" w:rsidRDefault="0045285D">
      <w:pPr>
        <w:spacing w:before="240" w:after="240" w:line="360" w:lineRule="auto"/>
        <w:ind w:firstLine="720"/>
        <w:jc w:val="both"/>
        <w:rPr>
          <w:rFonts w:ascii="Arial" w:eastAsia="Arial" w:hAnsi="Arial" w:cs="Arial"/>
          <w:sz w:val="24"/>
          <w:szCs w:val="24"/>
        </w:rPr>
      </w:pP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1.2 JUSTIFICATIVA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Existem alguns estudos realizados em ratos que apresentaram eficácia na suplementação de </w:t>
      </w:r>
      <w:proofErr w:type="spellStart"/>
      <w:r>
        <w:rPr>
          <w:rFonts w:ascii="Arial" w:eastAsia="Arial" w:hAnsi="Arial" w:cs="Arial"/>
          <w:i/>
          <w:sz w:val="24"/>
          <w:szCs w:val="24"/>
        </w:rPr>
        <w:t>Tribulus</w:t>
      </w:r>
      <w:proofErr w:type="spellEnd"/>
      <w:r>
        <w:rPr>
          <w:rFonts w:ascii="Arial" w:eastAsia="Arial" w:hAnsi="Arial" w:cs="Arial"/>
          <w:i/>
          <w:sz w:val="24"/>
          <w:szCs w:val="24"/>
        </w:rPr>
        <w:t xml:space="preserve"> </w:t>
      </w:r>
      <w:proofErr w:type="spellStart"/>
      <w:r>
        <w:rPr>
          <w:rFonts w:ascii="Arial" w:eastAsia="Arial" w:hAnsi="Arial" w:cs="Arial"/>
          <w:i/>
          <w:sz w:val="24"/>
          <w:szCs w:val="24"/>
        </w:rPr>
        <w:t>terrestris</w:t>
      </w:r>
      <w:proofErr w:type="spellEnd"/>
      <w:r>
        <w:rPr>
          <w:rFonts w:ascii="Arial" w:eastAsia="Arial" w:hAnsi="Arial" w:cs="Arial"/>
          <w:i/>
          <w:sz w:val="24"/>
          <w:szCs w:val="24"/>
        </w:rPr>
        <w:t xml:space="preserve"> </w:t>
      </w:r>
      <w:r>
        <w:rPr>
          <w:rFonts w:ascii="Arial" w:eastAsia="Arial" w:hAnsi="Arial" w:cs="Arial"/>
          <w:sz w:val="24"/>
          <w:szCs w:val="24"/>
        </w:rPr>
        <w:t>(TT) em relação ao aumento de testosterona, ganho de força e massa magra, porém os resultados dos estudos realizados em humanos ainda são inconclusivos. Outros estudos apresentaram bons resultados com suplementação de TT para homens com disfunção sexual e também em mulheres pós-menopausa.</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Fisiologicamente, os homens apresentam maior produção endógena de testosterona do que as mulheres. Além disso, hoje em dia é muito comum a utilização de pílulas anticoncepcionais como método contraceptivo pelas mulheres, o que diminui mais ainda seus níveis de testosterona. Nessa questão, a suplementação com TT talvez possa ser efetiva para aumentar os níveis de testosterona nas mulheres, dentro dos níveis fisiológicos saudáveis, podendo melhorar sua saúde e até mesmo sua força e rendimento no treino, facilitando o processo de ganha de massa magra.</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Considerando a fisiologia feminina, que apresenta menores níveis de testosterona, e que todos os estudos sobre suplementação de TT foram realizados em homens, a proposta dessa pesquisa é suplementar TT em mulheres jovens praticantes de musculação. Acredita-se que a suplementação com TT possa aumentar os níveis séricos de testosterona, dentro dos níveis fisiológicos saudáveis, e consequentemente melhorar a saúde, desempenho nos treinos e facilitar o processo de ganho de massa magra.</w:t>
      </w:r>
    </w:p>
    <w:p w:rsidR="0045285D" w:rsidRDefault="0045285D">
      <w:pPr>
        <w:spacing w:before="240" w:after="240" w:line="360" w:lineRule="auto"/>
        <w:jc w:val="both"/>
        <w:rPr>
          <w:rFonts w:ascii="Arial" w:eastAsia="Arial" w:hAnsi="Arial" w:cs="Arial"/>
          <w:sz w:val="24"/>
          <w:szCs w:val="24"/>
        </w:rPr>
      </w:pP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1.3 OBJETIVOS</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1.3.1 Objetivo Geral</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Avaliar os efeitos da suplementação com TT em mulheres jovens praticantes de musculação.</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1.3.2 Objetivos específicos</w:t>
      </w:r>
    </w:p>
    <w:p w:rsidR="0045285D" w:rsidRDefault="00BA7515">
      <w:pPr>
        <w:numPr>
          <w:ilvl w:val="0"/>
          <w:numId w:val="1"/>
        </w:numPr>
        <w:spacing w:before="240" w:after="0" w:line="360" w:lineRule="auto"/>
        <w:jc w:val="both"/>
        <w:rPr>
          <w:rFonts w:ascii="Arial" w:eastAsia="Arial" w:hAnsi="Arial" w:cs="Arial"/>
          <w:sz w:val="24"/>
          <w:szCs w:val="24"/>
        </w:rPr>
      </w:pPr>
      <w:r>
        <w:rPr>
          <w:rFonts w:ascii="Arial" w:eastAsia="Arial" w:hAnsi="Arial" w:cs="Arial"/>
          <w:sz w:val="24"/>
          <w:szCs w:val="24"/>
        </w:rPr>
        <w:t>Avaliar mudanças na composição corporal.</w:t>
      </w:r>
    </w:p>
    <w:p w:rsidR="0045285D" w:rsidRDefault="00BA7515">
      <w:pPr>
        <w:numPr>
          <w:ilvl w:val="0"/>
          <w:numId w:val="1"/>
        </w:numPr>
        <w:spacing w:after="0" w:line="360" w:lineRule="auto"/>
        <w:jc w:val="both"/>
        <w:rPr>
          <w:rFonts w:ascii="Arial" w:eastAsia="Arial" w:hAnsi="Arial" w:cs="Arial"/>
          <w:sz w:val="24"/>
          <w:szCs w:val="24"/>
        </w:rPr>
      </w:pPr>
      <w:r>
        <w:rPr>
          <w:rFonts w:ascii="Arial" w:eastAsia="Arial" w:hAnsi="Arial" w:cs="Arial"/>
          <w:sz w:val="24"/>
          <w:szCs w:val="24"/>
        </w:rPr>
        <w:t>Avaliar melhora no desempenho físico.</w:t>
      </w:r>
    </w:p>
    <w:p w:rsidR="0045285D" w:rsidRDefault="0045285D">
      <w:pPr>
        <w:spacing w:before="240" w:after="240" w:line="360" w:lineRule="auto"/>
        <w:jc w:val="both"/>
        <w:rPr>
          <w:rFonts w:ascii="Arial" w:eastAsia="Arial" w:hAnsi="Arial" w:cs="Arial"/>
          <w:sz w:val="24"/>
          <w:szCs w:val="24"/>
        </w:rPr>
      </w:pPr>
    </w:p>
    <w:p w:rsidR="0045285D" w:rsidRDefault="00BA7515">
      <w:pPr>
        <w:spacing w:before="240" w:after="240" w:line="360" w:lineRule="auto"/>
        <w:jc w:val="both"/>
        <w:rPr>
          <w:rFonts w:ascii="Arial" w:eastAsia="Arial" w:hAnsi="Arial" w:cs="Arial"/>
          <w:b/>
          <w:sz w:val="24"/>
          <w:szCs w:val="24"/>
        </w:rPr>
      </w:pPr>
      <w:r>
        <w:rPr>
          <w:rFonts w:ascii="Arial" w:eastAsia="Arial" w:hAnsi="Arial" w:cs="Arial"/>
          <w:b/>
          <w:sz w:val="24"/>
          <w:szCs w:val="24"/>
        </w:rPr>
        <w:t>2. REFERENCIAL TEÓRICO</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Uma das plantas mais procuradas é o TT, conhecido por aumentar os níveis de testosterona e consequentemente auxiliar no ganho de massa magra.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TT é uma planta da família </w:t>
      </w:r>
      <w:proofErr w:type="spellStart"/>
      <w:r>
        <w:rPr>
          <w:rFonts w:ascii="Arial" w:eastAsia="Arial" w:hAnsi="Arial" w:cs="Arial"/>
          <w:sz w:val="24"/>
          <w:szCs w:val="24"/>
        </w:rPr>
        <w:t>Zygophyllaceae</w:t>
      </w:r>
      <w:proofErr w:type="spellEnd"/>
      <w:r>
        <w:rPr>
          <w:rFonts w:ascii="Arial" w:eastAsia="Arial" w:hAnsi="Arial" w:cs="Arial"/>
          <w:sz w:val="24"/>
          <w:szCs w:val="24"/>
        </w:rPr>
        <w:t>, nativa do sudeste da Europa, do Mediterrâneo, da Ásia e África temperada e tropical, e do norte da Austrália. Atualmente é plantada principalmente no Mediterrâneo e em regiões subtropicais como Índia, China, América do Sul, México, Espanha, Bulgária e Paquistão (ZHU et al., 2017).</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O uso das frutas e raízes do TT desde os tempos antigos ocorreu na medicina popular das principais culturas nessas áreas geográficas, como a medicina tradicional chinesa, indiana (</w:t>
      </w:r>
      <w:proofErr w:type="spellStart"/>
      <w:r>
        <w:rPr>
          <w:rFonts w:ascii="Arial" w:eastAsia="Arial" w:hAnsi="Arial" w:cs="Arial"/>
          <w:sz w:val="24"/>
          <w:szCs w:val="24"/>
        </w:rPr>
        <w:t>Ayurveda</w:t>
      </w:r>
      <w:proofErr w:type="spellEnd"/>
      <w:r>
        <w:rPr>
          <w:rFonts w:ascii="Arial" w:eastAsia="Arial" w:hAnsi="Arial" w:cs="Arial"/>
          <w:sz w:val="24"/>
          <w:szCs w:val="24"/>
        </w:rPr>
        <w:t xml:space="preserve">) e do sudeste da Europa, o que definiu sua importância como uma planta medicinal (NEYCHEV; MITEV, 2016). </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Na medicina tradicional chinesa, foi listado como um medicamento de primeira classe na mais antiga monografia farmacêutica chinesa existente, a "</w:t>
      </w:r>
      <w:proofErr w:type="spellStart"/>
      <w:r>
        <w:rPr>
          <w:rFonts w:ascii="Arial" w:eastAsia="Arial" w:hAnsi="Arial" w:cs="Arial"/>
          <w:sz w:val="24"/>
          <w:szCs w:val="24"/>
        </w:rPr>
        <w:t>Shen</w:t>
      </w:r>
      <w:proofErr w:type="spellEnd"/>
      <w:r>
        <w:rPr>
          <w:rFonts w:ascii="Arial" w:eastAsia="Arial" w:hAnsi="Arial" w:cs="Arial"/>
          <w:sz w:val="24"/>
          <w:szCs w:val="24"/>
        </w:rPr>
        <w:t xml:space="preserve"> </w:t>
      </w:r>
      <w:proofErr w:type="spellStart"/>
      <w:r>
        <w:rPr>
          <w:rFonts w:ascii="Arial" w:eastAsia="Arial" w:hAnsi="Arial" w:cs="Arial"/>
          <w:sz w:val="24"/>
          <w:szCs w:val="24"/>
        </w:rPr>
        <w:t>Nong</w:t>
      </w:r>
      <w:proofErr w:type="spellEnd"/>
      <w:r>
        <w:rPr>
          <w:rFonts w:ascii="Arial" w:eastAsia="Arial" w:hAnsi="Arial" w:cs="Arial"/>
          <w:sz w:val="24"/>
          <w:szCs w:val="24"/>
        </w:rPr>
        <w:t xml:space="preserve"> Ben </w:t>
      </w:r>
      <w:proofErr w:type="spellStart"/>
      <w:r>
        <w:rPr>
          <w:rFonts w:ascii="Arial" w:eastAsia="Arial" w:hAnsi="Arial" w:cs="Arial"/>
          <w:sz w:val="24"/>
          <w:szCs w:val="24"/>
        </w:rPr>
        <w:t>Cao</w:t>
      </w:r>
      <w:proofErr w:type="spellEnd"/>
      <w:r>
        <w:rPr>
          <w:rFonts w:ascii="Arial" w:eastAsia="Arial" w:hAnsi="Arial" w:cs="Arial"/>
          <w:sz w:val="24"/>
          <w:szCs w:val="24"/>
        </w:rPr>
        <w:t xml:space="preserve"> </w:t>
      </w:r>
      <w:proofErr w:type="spellStart"/>
      <w:r>
        <w:rPr>
          <w:rFonts w:ascii="Arial" w:eastAsia="Arial" w:hAnsi="Arial" w:cs="Arial"/>
          <w:sz w:val="24"/>
          <w:szCs w:val="24"/>
        </w:rPr>
        <w:t>Jing</w:t>
      </w:r>
      <w:proofErr w:type="spellEnd"/>
      <w:r>
        <w:rPr>
          <w:rFonts w:ascii="Arial" w:eastAsia="Arial" w:hAnsi="Arial" w:cs="Arial"/>
          <w:sz w:val="24"/>
          <w:szCs w:val="24"/>
        </w:rPr>
        <w:t xml:space="preserve">" (SHANG, 2008). Os frutos do TT foram usados para tonificar os rins, como diurético, expectorante para tosse, tratamento de prurido cutâneo, dor de cabeça, vertigem e bloqueio do ducto mamário (CHINESE PHARMACOPOEIA COMMISSION, 2015). </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Na Índia, os frutos foram utilizados no tratamento da infertilidade, impotência, disfunção erétil e baixa libido em </w:t>
      </w:r>
      <w:proofErr w:type="spellStart"/>
      <w:r>
        <w:rPr>
          <w:rFonts w:ascii="Arial" w:eastAsia="Arial" w:hAnsi="Arial" w:cs="Arial"/>
          <w:sz w:val="24"/>
          <w:szCs w:val="24"/>
        </w:rPr>
        <w:t>Ayurveda</w:t>
      </w:r>
      <w:proofErr w:type="spellEnd"/>
      <w:r>
        <w:rPr>
          <w:rFonts w:ascii="Arial" w:eastAsia="Arial" w:hAnsi="Arial" w:cs="Arial"/>
          <w:sz w:val="24"/>
          <w:szCs w:val="24"/>
        </w:rPr>
        <w:t xml:space="preserve">. Além disso, as raízes e frutas são consideradas como tendo propriedades cardiotônicas. No Sudão, o TT tem sido usado como demulcente, na nefrite e no tratamento de distúrbios inflamatórios (MOHAMMED et al., 2014). Além disso, tem sido utilizado para efeitos diuréticos e </w:t>
      </w:r>
      <w:proofErr w:type="spellStart"/>
      <w:r>
        <w:rPr>
          <w:rFonts w:ascii="Arial" w:eastAsia="Arial" w:hAnsi="Arial" w:cs="Arial"/>
          <w:sz w:val="24"/>
          <w:szCs w:val="24"/>
        </w:rPr>
        <w:t>uricossíricos</w:t>
      </w:r>
      <w:proofErr w:type="spellEnd"/>
      <w:r>
        <w:rPr>
          <w:rFonts w:ascii="Arial" w:eastAsia="Arial" w:hAnsi="Arial" w:cs="Arial"/>
          <w:sz w:val="24"/>
          <w:szCs w:val="24"/>
        </w:rPr>
        <w:t xml:space="preserve"> no Paquistão (AKRAM et al, 2011). As investigações modernas mostraram que os constituintes químicos saponinas, esteroides e flavonoides do TT foram os principais contribuintes para as atividades farmacológicas tradicionais, devido suas propriedades anti-inflamatórias e antienvelhecimento (ZHU et al, 2017).</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Ao longo dos últimos anos, o TT foi certificado por suas atividades farmacêuticas para tratamento de várias doenças, especialmente para melhorar a função sexual, infertilidade e libido (KALAMEGAM; ADAIKAN, 2008; KAMENOV; FILEVA; KALINOV, 2017; SOUZA; VALE; GEBER, 2016; POSTIGO et al., 2016); prevenção e tratamento de doenças cardiovasculares (LI et al., 2010; ZHANG et al., 2010), </w:t>
      </w:r>
      <w:proofErr w:type="spellStart"/>
      <w:r>
        <w:rPr>
          <w:rFonts w:ascii="Arial" w:eastAsia="Arial" w:hAnsi="Arial" w:cs="Arial"/>
          <w:sz w:val="24"/>
          <w:szCs w:val="24"/>
        </w:rPr>
        <w:t>antihiperlipidêmico</w:t>
      </w:r>
      <w:proofErr w:type="spellEnd"/>
      <w:r>
        <w:rPr>
          <w:rFonts w:ascii="Arial" w:eastAsia="Arial" w:hAnsi="Arial" w:cs="Arial"/>
          <w:sz w:val="24"/>
          <w:szCs w:val="24"/>
        </w:rPr>
        <w:t xml:space="preserve"> (JIJI et al., 2009) e diabetes (ZHANG; FENG, 2012; SAMANI et al., 2006). Possui atividades </w:t>
      </w:r>
      <w:proofErr w:type="spellStart"/>
      <w:r>
        <w:rPr>
          <w:rFonts w:ascii="Arial" w:eastAsia="Arial" w:hAnsi="Arial" w:cs="Arial"/>
          <w:sz w:val="24"/>
          <w:szCs w:val="24"/>
        </w:rPr>
        <w:t>hepatoprotetoras</w:t>
      </w:r>
      <w:proofErr w:type="spellEnd"/>
      <w:r>
        <w:rPr>
          <w:rFonts w:ascii="Arial" w:eastAsia="Arial" w:hAnsi="Arial" w:cs="Arial"/>
          <w:sz w:val="24"/>
          <w:szCs w:val="24"/>
        </w:rPr>
        <w:t xml:space="preserve"> (HU, 2009), antioxidantes (HEMALATHA; HARI, 2013), </w:t>
      </w:r>
      <w:proofErr w:type="spellStart"/>
      <w:r>
        <w:rPr>
          <w:rFonts w:ascii="Arial" w:eastAsia="Arial" w:hAnsi="Arial" w:cs="Arial"/>
          <w:sz w:val="24"/>
          <w:szCs w:val="24"/>
        </w:rPr>
        <w:t>antiurolitica</w:t>
      </w:r>
      <w:proofErr w:type="spellEnd"/>
      <w:r>
        <w:rPr>
          <w:rFonts w:ascii="Arial" w:eastAsia="Arial" w:hAnsi="Arial" w:cs="Arial"/>
          <w:sz w:val="24"/>
          <w:szCs w:val="24"/>
        </w:rPr>
        <w:t xml:space="preserve"> (AGGARWAL et al., 2012), </w:t>
      </w:r>
      <w:proofErr w:type="spellStart"/>
      <w:r>
        <w:rPr>
          <w:rFonts w:ascii="Arial" w:eastAsia="Arial" w:hAnsi="Arial" w:cs="Arial"/>
          <w:sz w:val="24"/>
          <w:szCs w:val="24"/>
        </w:rPr>
        <w:t>antinflamatórias</w:t>
      </w:r>
      <w:proofErr w:type="spellEnd"/>
      <w:r>
        <w:rPr>
          <w:rFonts w:ascii="Arial" w:eastAsia="Arial" w:hAnsi="Arial" w:cs="Arial"/>
          <w:sz w:val="24"/>
          <w:szCs w:val="24"/>
        </w:rPr>
        <w:t xml:space="preserve"> (HU, 2009; BABURAO et al., 2009), antibacterianas (KIRAN; LALITHA; RAVEESHA, 2011), antienvelhecimento (PRABHU, 2014) e antitumoral (GORANOVA et al., 2015; SISTO et al., 2012).</w:t>
      </w:r>
    </w:p>
    <w:p w:rsidR="0045285D" w:rsidRDefault="00BA7515">
      <w:pPr>
        <w:spacing w:before="240" w:after="240" w:line="360" w:lineRule="auto"/>
        <w:ind w:firstLine="720"/>
        <w:jc w:val="both"/>
        <w:rPr>
          <w:rFonts w:ascii="Arial" w:eastAsia="Arial" w:hAnsi="Arial" w:cs="Arial"/>
          <w:b/>
          <w:sz w:val="24"/>
          <w:szCs w:val="24"/>
        </w:rPr>
      </w:pPr>
      <w:r>
        <w:rPr>
          <w:rFonts w:ascii="Arial" w:eastAsia="Arial" w:hAnsi="Arial" w:cs="Arial"/>
          <w:sz w:val="24"/>
          <w:szCs w:val="24"/>
        </w:rPr>
        <w:t xml:space="preserve">Muitos compostos diferentes com uma variedade de propriedades biológicas e estruturas químicas foram identificados a partir de TT, incluindo saponinas </w:t>
      </w:r>
      <w:proofErr w:type="spellStart"/>
      <w:r>
        <w:rPr>
          <w:rFonts w:ascii="Arial" w:eastAsia="Arial" w:hAnsi="Arial" w:cs="Arial"/>
          <w:sz w:val="24"/>
          <w:szCs w:val="24"/>
        </w:rPr>
        <w:t>esteróides</w:t>
      </w:r>
      <w:proofErr w:type="spellEnd"/>
      <w:r>
        <w:rPr>
          <w:rFonts w:ascii="Arial" w:eastAsia="Arial" w:hAnsi="Arial" w:cs="Arial"/>
          <w:sz w:val="24"/>
          <w:szCs w:val="24"/>
        </w:rPr>
        <w:t xml:space="preserve">, </w:t>
      </w:r>
      <w:proofErr w:type="spellStart"/>
      <w:r>
        <w:rPr>
          <w:rFonts w:ascii="Arial" w:eastAsia="Arial" w:hAnsi="Arial" w:cs="Arial"/>
          <w:sz w:val="24"/>
          <w:szCs w:val="24"/>
        </w:rPr>
        <w:t>flavonóides</w:t>
      </w:r>
      <w:proofErr w:type="spellEnd"/>
      <w:r>
        <w:rPr>
          <w:rFonts w:ascii="Arial" w:eastAsia="Arial" w:hAnsi="Arial" w:cs="Arial"/>
          <w:sz w:val="24"/>
          <w:szCs w:val="24"/>
        </w:rPr>
        <w:t xml:space="preserve">, glicosídeos, </w:t>
      </w:r>
      <w:proofErr w:type="spellStart"/>
      <w:r>
        <w:rPr>
          <w:rFonts w:ascii="Arial" w:eastAsia="Arial" w:hAnsi="Arial" w:cs="Arial"/>
          <w:sz w:val="24"/>
          <w:szCs w:val="24"/>
        </w:rPr>
        <w:t>fitoesteróis</w:t>
      </w:r>
      <w:proofErr w:type="spellEnd"/>
      <w:r>
        <w:rPr>
          <w:rFonts w:ascii="Arial" w:eastAsia="Arial" w:hAnsi="Arial" w:cs="Arial"/>
          <w:sz w:val="24"/>
          <w:szCs w:val="24"/>
        </w:rPr>
        <w:t xml:space="preserve">, taninos, </w:t>
      </w:r>
      <w:proofErr w:type="spellStart"/>
      <w:r>
        <w:rPr>
          <w:rFonts w:ascii="Arial" w:eastAsia="Arial" w:hAnsi="Arial" w:cs="Arial"/>
          <w:sz w:val="24"/>
          <w:szCs w:val="24"/>
        </w:rPr>
        <w:t>terpenoides</w:t>
      </w:r>
      <w:proofErr w:type="spellEnd"/>
      <w:r>
        <w:rPr>
          <w:rFonts w:ascii="Arial" w:eastAsia="Arial" w:hAnsi="Arial" w:cs="Arial"/>
          <w:sz w:val="24"/>
          <w:szCs w:val="24"/>
        </w:rPr>
        <w:t xml:space="preserve">, derivados de amida, aminoácidos e proteínas. Entre os diferentes tipos de constituintes, saponinas </w:t>
      </w:r>
      <w:proofErr w:type="spellStart"/>
      <w:r>
        <w:rPr>
          <w:rFonts w:ascii="Arial" w:eastAsia="Arial" w:hAnsi="Arial" w:cs="Arial"/>
          <w:sz w:val="24"/>
          <w:szCs w:val="24"/>
        </w:rPr>
        <w:t>esteróides</w:t>
      </w:r>
      <w:proofErr w:type="spellEnd"/>
      <w:r>
        <w:rPr>
          <w:rFonts w:ascii="Arial" w:eastAsia="Arial" w:hAnsi="Arial" w:cs="Arial"/>
          <w:sz w:val="24"/>
          <w:szCs w:val="24"/>
        </w:rPr>
        <w:t xml:space="preserve"> e </w:t>
      </w:r>
      <w:proofErr w:type="spellStart"/>
      <w:r>
        <w:rPr>
          <w:rFonts w:ascii="Arial" w:eastAsia="Arial" w:hAnsi="Arial" w:cs="Arial"/>
          <w:sz w:val="24"/>
          <w:szCs w:val="24"/>
        </w:rPr>
        <w:t>flavonóides</w:t>
      </w:r>
      <w:proofErr w:type="spellEnd"/>
      <w:r>
        <w:rPr>
          <w:rFonts w:ascii="Arial" w:eastAsia="Arial" w:hAnsi="Arial" w:cs="Arial"/>
          <w:sz w:val="24"/>
          <w:szCs w:val="24"/>
        </w:rPr>
        <w:t xml:space="preserve"> são considerados os metabolitos mais importantes com várias </w:t>
      </w:r>
      <w:proofErr w:type="spellStart"/>
      <w:r>
        <w:rPr>
          <w:rFonts w:ascii="Arial" w:eastAsia="Arial" w:hAnsi="Arial" w:cs="Arial"/>
          <w:sz w:val="24"/>
          <w:szCs w:val="24"/>
        </w:rPr>
        <w:t>bioatividades</w:t>
      </w:r>
      <w:proofErr w:type="spellEnd"/>
      <w:r>
        <w:rPr>
          <w:rFonts w:ascii="Arial" w:eastAsia="Arial" w:hAnsi="Arial" w:cs="Arial"/>
          <w:sz w:val="24"/>
          <w:szCs w:val="24"/>
        </w:rPr>
        <w:t xml:space="preserve"> (ZHU et al, 2017).</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As saponinas de TT parecem se unir aos receptores do hipotálamo que detectam hormônios sexuais. Ele bloqueia em parte os receptores que levam ao hipotálamo, interpretando erroneamente os níveis de hormônio sexual do corpo como sendo menores do que realmente são, assim o hipotálamo sinaliza para iniciar a produção de LH. Quando os níveis de LH são aumentados, a produção natural de testosterona também aumenta (ZHU et al, 2017).Provavelmente, devido estas </w:t>
      </w:r>
      <w:r>
        <w:rPr>
          <w:rFonts w:ascii="Arial" w:eastAsia="Arial" w:hAnsi="Arial" w:cs="Arial"/>
          <w:sz w:val="24"/>
          <w:szCs w:val="24"/>
        </w:rPr>
        <w:lastRenderedPageBreak/>
        <w:t>sugestões, ele começou a ser comercializado como um suplemento que pode aumentar a testosterona e promover maiores ganhos de força e massa muscular durante o treinamento.</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 xml:space="preserve">Um estudo realizado em ratos comprovou que a administração de TT (120mg/kg) pode prolongar o tempo de exaustão e aumentar a massa corporal, a massa relativa e os níveis de proteína no </w:t>
      </w:r>
      <w:proofErr w:type="spellStart"/>
      <w:r>
        <w:rPr>
          <w:rFonts w:ascii="Arial" w:eastAsia="Arial" w:hAnsi="Arial" w:cs="Arial"/>
          <w:sz w:val="24"/>
          <w:szCs w:val="24"/>
        </w:rPr>
        <w:t>gastrocnêmio</w:t>
      </w:r>
      <w:proofErr w:type="spellEnd"/>
      <w:r>
        <w:rPr>
          <w:rFonts w:ascii="Arial" w:eastAsia="Arial" w:hAnsi="Arial" w:cs="Arial"/>
          <w:sz w:val="24"/>
          <w:szCs w:val="24"/>
        </w:rPr>
        <w:t xml:space="preserve">. Além disso,  o tratamento de ratos com TT aumentou o nível sérico de testosterona e levou a uma diminuição significativa no nível sérico de </w:t>
      </w:r>
      <w:proofErr w:type="spellStart"/>
      <w:r>
        <w:rPr>
          <w:rFonts w:ascii="Arial" w:eastAsia="Arial" w:hAnsi="Arial" w:cs="Arial"/>
          <w:sz w:val="24"/>
          <w:szCs w:val="24"/>
        </w:rPr>
        <w:t>corticosterona</w:t>
      </w:r>
      <w:proofErr w:type="spellEnd"/>
      <w:r>
        <w:rPr>
          <w:rFonts w:ascii="Arial" w:eastAsia="Arial" w:hAnsi="Arial" w:cs="Arial"/>
          <w:sz w:val="24"/>
          <w:szCs w:val="24"/>
        </w:rPr>
        <w:t xml:space="preserve"> (responsável por acelerar a decomposição de proteínas no organismo). A relação testosterona/</w:t>
      </w:r>
      <w:proofErr w:type="spellStart"/>
      <w:r>
        <w:rPr>
          <w:rFonts w:ascii="Arial" w:eastAsia="Arial" w:hAnsi="Arial" w:cs="Arial"/>
          <w:sz w:val="24"/>
          <w:szCs w:val="24"/>
        </w:rPr>
        <w:t>corticosterona</w:t>
      </w:r>
      <w:proofErr w:type="spellEnd"/>
      <w:r>
        <w:rPr>
          <w:rFonts w:ascii="Arial" w:eastAsia="Arial" w:hAnsi="Arial" w:cs="Arial"/>
          <w:sz w:val="24"/>
          <w:szCs w:val="24"/>
        </w:rPr>
        <w:t xml:space="preserve"> com TT foi muito maior que a do grupo controle (placebo) (JING, 1998 apud ZHU et al., 2017).</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No estudo de </w:t>
      </w:r>
      <w:proofErr w:type="spellStart"/>
      <w:r>
        <w:rPr>
          <w:rFonts w:ascii="Arial" w:eastAsia="Arial" w:hAnsi="Arial" w:cs="Arial"/>
          <w:sz w:val="24"/>
          <w:szCs w:val="24"/>
        </w:rPr>
        <w:t>Rogerson</w:t>
      </w:r>
      <w:proofErr w:type="spellEnd"/>
      <w:r>
        <w:rPr>
          <w:rFonts w:ascii="Arial" w:eastAsia="Arial" w:hAnsi="Arial" w:cs="Arial"/>
          <w:sz w:val="24"/>
          <w:szCs w:val="24"/>
        </w:rPr>
        <w:t xml:space="preserve"> e colegas (2007), 5 semanas de suplementação com TT (450mg/dia), em jogadores de elite de </w:t>
      </w:r>
      <w:proofErr w:type="spellStart"/>
      <w:r>
        <w:rPr>
          <w:rFonts w:ascii="Arial" w:eastAsia="Arial" w:hAnsi="Arial" w:cs="Arial"/>
          <w:sz w:val="24"/>
          <w:szCs w:val="24"/>
        </w:rPr>
        <w:t>rugby</w:t>
      </w:r>
      <w:proofErr w:type="spellEnd"/>
      <w:r>
        <w:rPr>
          <w:rFonts w:ascii="Arial" w:eastAsia="Arial" w:hAnsi="Arial" w:cs="Arial"/>
          <w:sz w:val="24"/>
          <w:szCs w:val="24"/>
        </w:rPr>
        <w:t xml:space="preserve">, não teve nenhum efeito significativo na força, massa corporal ou massa livre de gordura. Nesse estudo também </w:t>
      </w:r>
      <w:proofErr w:type="gramStart"/>
      <w:r>
        <w:rPr>
          <w:rFonts w:ascii="Arial" w:eastAsia="Arial" w:hAnsi="Arial" w:cs="Arial"/>
          <w:sz w:val="24"/>
          <w:szCs w:val="24"/>
        </w:rPr>
        <w:t>avaliou-se</w:t>
      </w:r>
      <w:proofErr w:type="gramEnd"/>
      <w:r>
        <w:rPr>
          <w:rFonts w:ascii="Arial" w:eastAsia="Arial" w:hAnsi="Arial" w:cs="Arial"/>
          <w:sz w:val="24"/>
          <w:szCs w:val="24"/>
        </w:rPr>
        <w:t xml:space="preserve"> a relação urinaria testosterona/</w:t>
      </w:r>
      <w:proofErr w:type="spellStart"/>
      <w:r>
        <w:rPr>
          <w:rFonts w:ascii="Arial" w:eastAsia="Arial" w:hAnsi="Arial" w:cs="Arial"/>
          <w:sz w:val="24"/>
          <w:szCs w:val="24"/>
        </w:rPr>
        <w:t>epitosterona</w:t>
      </w:r>
      <w:proofErr w:type="spellEnd"/>
      <w:r>
        <w:rPr>
          <w:rFonts w:ascii="Arial" w:eastAsia="Arial" w:hAnsi="Arial" w:cs="Arial"/>
          <w:sz w:val="24"/>
          <w:szCs w:val="24"/>
        </w:rPr>
        <w:t>, que não apresentou diferença significativa com a suplementação de TT. Levando em consideração que a dosagem recomendada de TT é de 750mg a 1500mg por dia (AKRAM, 2011), a quantidade utilizada pelo estudo estava abaixo disso, o que pode ter interferido nos resultados.</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Todos os estudos realizados em humanos (ANTONIO et al., 2000; NEYCHEV; MITEV, 2005; MILASIUS; DADELIENE; SKERNEVICIUS, 2009) tiveram como objeto de estudo pessoas do sexo masculino, e possuem resultados inconclusivos em relação ao aumento dos níveis de testosterona e ganho de massa magra.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No estudo de </w:t>
      </w:r>
      <w:proofErr w:type="spellStart"/>
      <w:r>
        <w:rPr>
          <w:rFonts w:ascii="Arial" w:eastAsia="Arial" w:hAnsi="Arial" w:cs="Arial"/>
          <w:sz w:val="24"/>
          <w:szCs w:val="24"/>
        </w:rPr>
        <w:t>Milasius</w:t>
      </w:r>
      <w:proofErr w:type="spellEnd"/>
      <w:r>
        <w:rPr>
          <w:rFonts w:ascii="Arial" w:eastAsia="Arial" w:hAnsi="Arial" w:cs="Arial"/>
          <w:sz w:val="24"/>
          <w:szCs w:val="24"/>
        </w:rPr>
        <w:t xml:space="preserve">, </w:t>
      </w:r>
      <w:proofErr w:type="spellStart"/>
      <w:r>
        <w:rPr>
          <w:rFonts w:ascii="Arial" w:eastAsia="Arial" w:hAnsi="Arial" w:cs="Arial"/>
          <w:sz w:val="24"/>
          <w:szCs w:val="24"/>
        </w:rPr>
        <w:t>Dadeliene</w:t>
      </w:r>
      <w:proofErr w:type="spellEnd"/>
      <w:r>
        <w:rPr>
          <w:rFonts w:ascii="Arial" w:eastAsia="Arial" w:hAnsi="Arial" w:cs="Arial"/>
          <w:sz w:val="24"/>
          <w:szCs w:val="24"/>
        </w:rPr>
        <w:t xml:space="preserve"> e </w:t>
      </w:r>
      <w:proofErr w:type="spellStart"/>
      <w:r>
        <w:rPr>
          <w:rFonts w:ascii="Arial" w:eastAsia="Arial" w:hAnsi="Arial" w:cs="Arial"/>
          <w:sz w:val="24"/>
          <w:szCs w:val="24"/>
        </w:rPr>
        <w:t>Skernevicius</w:t>
      </w:r>
      <w:proofErr w:type="spellEnd"/>
      <w:r>
        <w:rPr>
          <w:rFonts w:ascii="Arial" w:eastAsia="Arial" w:hAnsi="Arial" w:cs="Arial"/>
          <w:sz w:val="24"/>
          <w:szCs w:val="24"/>
        </w:rPr>
        <w:t xml:space="preserve"> (2009) os sujeitos do estudo foram avaliados em diversos aspectos fisiológicos e bons resultados foram encontrados em relação a capacidade aeróbica, aumento de VO2max e creatina quinase, diminuição de lactato, ureia, creatinina e colesterol.</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Em relação a segurança da suplementação de TT, um estudo em animais investigou a toxicidade aguda do extrato de metanol do TT (2 g/kg, administrado oralmente a 5 ratos por 14 dias). Os extratos de metanol consistiram principalmente em </w:t>
      </w:r>
      <w:proofErr w:type="spellStart"/>
      <w:r>
        <w:rPr>
          <w:rFonts w:ascii="Arial" w:eastAsia="Arial" w:hAnsi="Arial" w:cs="Arial"/>
          <w:sz w:val="24"/>
          <w:szCs w:val="24"/>
        </w:rPr>
        <w:t>flavonóides</w:t>
      </w:r>
      <w:proofErr w:type="spellEnd"/>
      <w:r>
        <w:rPr>
          <w:rFonts w:ascii="Arial" w:eastAsia="Arial" w:hAnsi="Arial" w:cs="Arial"/>
          <w:sz w:val="24"/>
          <w:szCs w:val="24"/>
        </w:rPr>
        <w:t xml:space="preserve">, antraquinonas, fenóis/taninos e </w:t>
      </w:r>
      <w:proofErr w:type="spellStart"/>
      <w:r>
        <w:rPr>
          <w:rFonts w:ascii="Arial" w:eastAsia="Arial" w:hAnsi="Arial" w:cs="Arial"/>
          <w:sz w:val="24"/>
          <w:szCs w:val="24"/>
        </w:rPr>
        <w:t>esteróides</w:t>
      </w:r>
      <w:proofErr w:type="spellEnd"/>
      <w:r>
        <w:rPr>
          <w:rFonts w:ascii="Arial" w:eastAsia="Arial" w:hAnsi="Arial" w:cs="Arial"/>
          <w:sz w:val="24"/>
          <w:szCs w:val="24"/>
        </w:rPr>
        <w:t>/</w:t>
      </w:r>
      <w:proofErr w:type="spellStart"/>
      <w:r>
        <w:rPr>
          <w:rFonts w:ascii="Arial" w:eastAsia="Arial" w:hAnsi="Arial" w:cs="Arial"/>
          <w:sz w:val="24"/>
          <w:szCs w:val="24"/>
        </w:rPr>
        <w:t>triterpenos</w:t>
      </w:r>
      <w:proofErr w:type="spellEnd"/>
      <w:r>
        <w:rPr>
          <w:rFonts w:ascii="Arial" w:eastAsia="Arial" w:hAnsi="Arial" w:cs="Arial"/>
          <w:sz w:val="24"/>
          <w:szCs w:val="24"/>
        </w:rPr>
        <w:t xml:space="preserve">. Como resultado, não houve sintomas tóxicos ou mortalidade observados em nenhum animal </w:t>
      </w:r>
      <w:r>
        <w:rPr>
          <w:rFonts w:ascii="Arial" w:eastAsia="Arial" w:hAnsi="Arial" w:cs="Arial"/>
          <w:sz w:val="24"/>
          <w:szCs w:val="24"/>
        </w:rPr>
        <w:lastRenderedPageBreak/>
        <w:t>e não houve diferenças óbvias entre os animais tratados e controle quanto a alterações comportamentais e sinais toxicológicos (comportamento geral, atividades motoras, agressividade, reação ao ruído e o estado dos excrementos) (EL-SHAIBANY; AL-HABORI; AL-TAHAMI, 2015).</w:t>
      </w:r>
    </w:p>
    <w:p w:rsidR="0045285D" w:rsidRDefault="00BA7515">
      <w:pPr>
        <w:spacing w:before="240" w:after="240" w:line="360" w:lineRule="auto"/>
        <w:ind w:firstLine="720"/>
        <w:jc w:val="both"/>
        <w:rPr>
          <w:rFonts w:ascii="Arial" w:eastAsia="Arial" w:hAnsi="Arial" w:cs="Arial"/>
          <w:sz w:val="24"/>
          <w:szCs w:val="24"/>
        </w:rPr>
      </w:pPr>
      <w:proofErr w:type="spellStart"/>
      <w:r>
        <w:rPr>
          <w:rFonts w:ascii="Arial" w:eastAsia="Arial" w:hAnsi="Arial" w:cs="Arial"/>
          <w:sz w:val="24"/>
          <w:szCs w:val="24"/>
        </w:rPr>
        <w:t>Arcasoy</w:t>
      </w:r>
      <w:proofErr w:type="spellEnd"/>
      <w:r>
        <w:rPr>
          <w:rFonts w:ascii="Arial" w:eastAsia="Arial" w:hAnsi="Arial" w:cs="Arial"/>
          <w:sz w:val="24"/>
          <w:szCs w:val="24"/>
        </w:rPr>
        <w:t xml:space="preserve"> e colegas (1998) estabeleceram que para ratos a dose máxima equivale a 813 mg/kg de TT. Os sintomas de dano grave do músculo cardíaco, fígado e rim foram observados em cabras e ovelhas quando suas refeições diárias continham 80% de plantas frescas do TT (ASLANI et al., 2003; ASLANI et al., 2004). </w:t>
      </w:r>
    </w:p>
    <w:p w:rsidR="0045285D" w:rsidRDefault="00BA7515">
      <w:pPr>
        <w:spacing w:before="240" w:after="240" w:line="360" w:lineRule="auto"/>
        <w:ind w:firstLine="720"/>
        <w:jc w:val="both"/>
        <w:rPr>
          <w:rFonts w:ascii="Arial" w:eastAsia="Arial" w:hAnsi="Arial" w:cs="Arial"/>
          <w:sz w:val="24"/>
          <w:szCs w:val="24"/>
          <w:highlight w:val="yellow"/>
        </w:rPr>
      </w:pPr>
      <w:r>
        <w:rPr>
          <w:rFonts w:ascii="Arial" w:eastAsia="Arial" w:hAnsi="Arial" w:cs="Arial"/>
          <w:sz w:val="24"/>
          <w:szCs w:val="24"/>
        </w:rPr>
        <w:t>O TT não está listado especificamente como uma substância proibida pela Agência Mundial Antidopagem (WADA), sendo que a relação urinária T/E é a medida-chave para detectar o abuso de testosterona. As relações T/E urinárias normais são aproximadamente 1:1 e se a proporção exceder 4:1, um atleta é monitorado por 3 meses para determinar se uma infração de doping ocorreu.</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Segundo </w:t>
      </w:r>
      <w:proofErr w:type="spellStart"/>
      <w:r>
        <w:rPr>
          <w:rFonts w:ascii="Arial" w:eastAsia="Arial" w:hAnsi="Arial" w:cs="Arial"/>
          <w:sz w:val="24"/>
          <w:szCs w:val="24"/>
        </w:rPr>
        <w:t>Akram</w:t>
      </w:r>
      <w:proofErr w:type="spellEnd"/>
      <w:r>
        <w:rPr>
          <w:rFonts w:ascii="Arial" w:eastAsia="Arial" w:hAnsi="Arial" w:cs="Arial"/>
          <w:sz w:val="24"/>
          <w:szCs w:val="24"/>
        </w:rPr>
        <w:t xml:space="preserve"> (2011), as doses efetivas e seguras utilizadas são de 750 a 1500mg por dia.</w:t>
      </w:r>
    </w:p>
    <w:p w:rsidR="0045285D" w:rsidRDefault="0045285D">
      <w:pPr>
        <w:spacing w:before="240" w:after="240" w:line="360" w:lineRule="auto"/>
        <w:jc w:val="both"/>
        <w:rPr>
          <w:rFonts w:ascii="Arial" w:eastAsia="Arial" w:hAnsi="Arial" w:cs="Arial"/>
          <w:sz w:val="24"/>
          <w:szCs w:val="24"/>
          <w:highlight w:val="yellow"/>
        </w:rPr>
      </w:pPr>
    </w:p>
    <w:p w:rsidR="0045285D" w:rsidRDefault="00BA7515">
      <w:pPr>
        <w:spacing w:before="240" w:after="240" w:line="360" w:lineRule="auto"/>
        <w:jc w:val="both"/>
        <w:rPr>
          <w:rFonts w:ascii="Arial" w:eastAsia="Arial" w:hAnsi="Arial" w:cs="Arial"/>
          <w:b/>
          <w:sz w:val="24"/>
          <w:szCs w:val="24"/>
        </w:rPr>
      </w:pPr>
      <w:r>
        <w:rPr>
          <w:rFonts w:ascii="Arial" w:eastAsia="Arial" w:hAnsi="Arial" w:cs="Arial"/>
          <w:b/>
          <w:sz w:val="24"/>
          <w:szCs w:val="24"/>
        </w:rPr>
        <w:t xml:space="preserve">3. METODOLOGIA </w:t>
      </w:r>
    </w:p>
    <w:p w:rsidR="0045285D" w:rsidRDefault="00BA7515">
      <w:pPr>
        <w:pBdr>
          <w:top w:val="nil"/>
          <w:left w:val="nil"/>
          <w:bottom w:val="nil"/>
          <w:right w:val="nil"/>
          <w:between w:val="nil"/>
        </w:pBdr>
        <w:spacing w:line="360" w:lineRule="auto"/>
        <w:ind w:firstLine="720"/>
        <w:jc w:val="both"/>
        <w:rPr>
          <w:rFonts w:ascii="Arial" w:eastAsia="Arial" w:hAnsi="Arial" w:cs="Arial"/>
          <w:b/>
          <w:sz w:val="24"/>
          <w:szCs w:val="24"/>
        </w:rPr>
      </w:pPr>
      <w:r>
        <w:rPr>
          <w:rFonts w:ascii="Arial" w:eastAsia="Arial" w:hAnsi="Arial" w:cs="Arial"/>
          <w:color w:val="000000"/>
          <w:sz w:val="24"/>
          <w:szCs w:val="24"/>
        </w:rPr>
        <w:t>Trata-se de um estudo experimental uma vez que foram manipuladas as variáveis da pesquisa com o objetivo de analisar a eficácia da suplementação de TT em mulheres jovens praticantes de musculação (THOMAS; NELSON; SILVERMAN, 2012)</w:t>
      </w:r>
      <w:r>
        <w:rPr>
          <w:rFonts w:ascii="Arial" w:eastAsia="Arial" w:hAnsi="Arial" w:cs="Arial"/>
          <w:sz w:val="24"/>
          <w:szCs w:val="24"/>
        </w:rPr>
        <w:t>.</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b/>
          <w:sz w:val="24"/>
          <w:szCs w:val="24"/>
        </w:rPr>
        <w:tab/>
      </w:r>
      <w:r>
        <w:rPr>
          <w:rFonts w:ascii="Arial" w:eastAsia="Arial" w:hAnsi="Arial" w:cs="Arial"/>
          <w:sz w:val="24"/>
          <w:szCs w:val="24"/>
        </w:rPr>
        <w:t>A amostra contou com 8 indivíduos do sexo feminino, entre 18 e 30 anos e TT foi oferecido em uma dose diária, que deveria ser ingerida todos os dias no mesmo horário, de 750mg com cerca de 40% de saponinas por 45 dias e a prescrição foi feita pelo farmacêutico da equipe de pesquisa.</w:t>
      </w:r>
    </w:p>
    <w:p w:rsidR="0045285D" w:rsidRDefault="00BA7515">
      <w:pPr>
        <w:spacing w:before="240" w:after="240" w:line="360" w:lineRule="auto"/>
        <w:ind w:firstLine="700"/>
        <w:jc w:val="both"/>
        <w:rPr>
          <w:rFonts w:ascii="Arial" w:eastAsia="Arial" w:hAnsi="Arial" w:cs="Arial"/>
          <w:sz w:val="24"/>
          <w:szCs w:val="24"/>
        </w:rPr>
      </w:pPr>
      <w:r>
        <w:rPr>
          <w:rFonts w:ascii="Arial" w:eastAsia="Arial" w:hAnsi="Arial" w:cs="Arial"/>
          <w:sz w:val="24"/>
          <w:szCs w:val="24"/>
        </w:rPr>
        <w:t>Os participantes foram selecionados a partir de contatos pessoais do pesquisador principal e da aluna responsável pela pesquisa e instruídos a não alterarem sua dieta durante o período do estudo e não fazerem a ingestão de suplementos estimulantes em conjunto com a suplementação de TT.</w:t>
      </w:r>
    </w:p>
    <w:p w:rsidR="0045285D" w:rsidRDefault="00BA7515">
      <w:pPr>
        <w:spacing w:before="240" w:after="240" w:line="360" w:lineRule="auto"/>
        <w:ind w:firstLine="400"/>
        <w:jc w:val="both"/>
        <w:rPr>
          <w:rFonts w:ascii="Arial" w:eastAsia="Arial" w:hAnsi="Arial" w:cs="Arial"/>
          <w:sz w:val="24"/>
          <w:szCs w:val="24"/>
        </w:rPr>
      </w:pPr>
      <w:r>
        <w:rPr>
          <w:rFonts w:ascii="Arial" w:eastAsia="Arial" w:hAnsi="Arial" w:cs="Arial"/>
          <w:sz w:val="24"/>
          <w:szCs w:val="24"/>
        </w:rPr>
        <w:lastRenderedPageBreak/>
        <w:t xml:space="preserve">Os participantes compareceram ao Laboratório do Movimento Humano da Universidades São Judas Tadeu (Universidade </w:t>
      </w:r>
      <w:proofErr w:type="spellStart"/>
      <w:r>
        <w:rPr>
          <w:rFonts w:ascii="Arial" w:eastAsia="Arial" w:hAnsi="Arial" w:cs="Arial"/>
          <w:sz w:val="24"/>
          <w:szCs w:val="24"/>
        </w:rPr>
        <w:t>co-participante</w:t>
      </w:r>
      <w:proofErr w:type="spellEnd"/>
      <w:r>
        <w:rPr>
          <w:rFonts w:ascii="Arial" w:eastAsia="Arial" w:hAnsi="Arial" w:cs="Arial"/>
          <w:sz w:val="24"/>
          <w:szCs w:val="24"/>
        </w:rPr>
        <w:t xml:space="preserve"> do estudo), para a assinatura do TCLE, explicação do procedimento experimental, realização das avaliações de composição corporal e para a entrega do suplemento. Os testes de desempenho foram realizados na academia Lions, no bairro do Ipiranga.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As avaliações de composição corporal e desempenho foram realizadas em dois momentos: </w:t>
      </w:r>
      <w:proofErr w:type="spellStart"/>
      <w:r>
        <w:rPr>
          <w:rFonts w:ascii="Arial" w:eastAsia="Arial" w:hAnsi="Arial" w:cs="Arial"/>
          <w:sz w:val="24"/>
          <w:szCs w:val="24"/>
        </w:rPr>
        <w:t>pré</w:t>
      </w:r>
      <w:proofErr w:type="spellEnd"/>
      <w:r>
        <w:rPr>
          <w:rFonts w:ascii="Arial" w:eastAsia="Arial" w:hAnsi="Arial" w:cs="Arial"/>
          <w:sz w:val="24"/>
          <w:szCs w:val="24"/>
        </w:rPr>
        <w:t xml:space="preserve"> e pós suplementação (48 horas após o fim do protocolo).</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Durante esse período do estudo, os sujeitos deveriam manter uma frequência mínima de três treinos por semana durante o período de 45 dias em seu próprio local de treino.</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Para avaliar o desempenho físico foi realizado o teste de 1 RM de supino reto livre horizontal e </w:t>
      </w:r>
      <w:proofErr w:type="spellStart"/>
      <w:r>
        <w:rPr>
          <w:rFonts w:ascii="Arial" w:eastAsia="Arial" w:hAnsi="Arial" w:cs="Arial"/>
          <w:sz w:val="24"/>
          <w:szCs w:val="24"/>
        </w:rPr>
        <w:t>Leg</w:t>
      </w:r>
      <w:proofErr w:type="spellEnd"/>
      <w:r>
        <w:rPr>
          <w:rFonts w:ascii="Arial" w:eastAsia="Arial" w:hAnsi="Arial" w:cs="Arial"/>
          <w:sz w:val="24"/>
          <w:szCs w:val="24"/>
        </w:rPr>
        <w:t xml:space="preserve"> </w:t>
      </w:r>
      <w:proofErr w:type="spellStart"/>
      <w:r>
        <w:rPr>
          <w:rFonts w:ascii="Arial" w:eastAsia="Arial" w:hAnsi="Arial" w:cs="Arial"/>
          <w:sz w:val="24"/>
          <w:szCs w:val="24"/>
        </w:rPr>
        <w:t>press</w:t>
      </w:r>
      <w:proofErr w:type="spellEnd"/>
      <w:r>
        <w:rPr>
          <w:rFonts w:ascii="Arial" w:eastAsia="Arial" w:hAnsi="Arial" w:cs="Arial"/>
          <w:sz w:val="24"/>
          <w:szCs w:val="24"/>
        </w:rPr>
        <w:t xml:space="preserve"> 45</w:t>
      </w:r>
      <w:r>
        <w:rPr>
          <w:rFonts w:ascii="Arial" w:eastAsia="Arial" w:hAnsi="Arial" w:cs="Arial"/>
          <w:sz w:val="24"/>
          <w:szCs w:val="24"/>
          <w:vertAlign w:val="superscript"/>
        </w:rPr>
        <w:t>o</w:t>
      </w:r>
      <w:r>
        <w:rPr>
          <w:rFonts w:ascii="Arial" w:eastAsia="Arial" w:hAnsi="Arial" w:cs="Arial"/>
          <w:sz w:val="24"/>
          <w:szCs w:val="24"/>
        </w:rPr>
        <w:t xml:space="preserve"> de acordo com a metodologia descrita por Brown e Weir (2003).</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Para avaliar a composição corporal foram realizadas 5 análises: peso corporal, altura, circunferências, dobras cutâneas e bioimpedância.</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O peso corporal foi medido através da balança de bioimpedância da marca INBODY, que também forneceu informações sobre o índice de massa corporal (IMC), massa muscular esquelética, massa de gordura, percentual de gordura, taxa metabólica basal (TMB) e água corporal dos indivíduos. Foi utilizada a mesma balança em todas as avaliações.  </w:t>
      </w:r>
    </w:p>
    <w:p w:rsidR="0045285D" w:rsidRDefault="00BA7515">
      <w:pPr>
        <w:spacing w:before="240" w:after="240" w:line="360" w:lineRule="auto"/>
        <w:ind w:firstLine="720"/>
        <w:jc w:val="both"/>
        <w:rPr>
          <w:rFonts w:ascii="Arial" w:eastAsia="Arial" w:hAnsi="Arial" w:cs="Arial"/>
          <w:sz w:val="24"/>
          <w:szCs w:val="24"/>
        </w:rPr>
      </w:pPr>
      <w:bookmarkStart w:id="1" w:name="_heading=h.gjdgxs" w:colFirst="0" w:colLast="0"/>
      <w:bookmarkEnd w:id="1"/>
      <w:r>
        <w:rPr>
          <w:rFonts w:ascii="Arial" w:eastAsia="Arial" w:hAnsi="Arial" w:cs="Arial"/>
          <w:sz w:val="24"/>
          <w:szCs w:val="24"/>
        </w:rPr>
        <w:t xml:space="preserve">A balança de bioimpedância usada foi uma balança da marca </w:t>
      </w:r>
      <w:proofErr w:type="spellStart"/>
      <w:r>
        <w:rPr>
          <w:rFonts w:ascii="Arial" w:eastAsia="Arial" w:hAnsi="Arial" w:cs="Arial"/>
          <w:sz w:val="24"/>
          <w:szCs w:val="24"/>
        </w:rPr>
        <w:t>InBody</w:t>
      </w:r>
      <w:proofErr w:type="spellEnd"/>
      <w:r>
        <w:rPr>
          <w:rFonts w:ascii="Arial" w:eastAsia="Arial" w:hAnsi="Arial" w:cs="Arial"/>
          <w:sz w:val="24"/>
          <w:szCs w:val="24"/>
        </w:rPr>
        <w:t xml:space="preserve"> modelo 120. O protocolo padrão do equipamento prevê jejum hídrico e alimentar de 4 horas, ausência de qualquer tipo de metal no corpo. O equipamento também sugere que, quando forem realizadas avaliações sequenciais, que essas sejam realizadas no mesmo horário do dia, para evitar flutuações circadianas naturais.</w:t>
      </w:r>
    </w:p>
    <w:p w:rsidR="0045285D" w:rsidRDefault="00BA7515">
      <w:pPr>
        <w:spacing w:before="240" w:after="240" w:line="360" w:lineRule="auto"/>
        <w:ind w:firstLine="700"/>
        <w:jc w:val="both"/>
        <w:rPr>
          <w:rFonts w:ascii="Arial" w:eastAsia="Arial" w:hAnsi="Arial" w:cs="Arial"/>
          <w:sz w:val="24"/>
          <w:szCs w:val="24"/>
        </w:rPr>
      </w:pPr>
      <w:r>
        <w:rPr>
          <w:rFonts w:ascii="Arial" w:eastAsia="Arial" w:hAnsi="Arial" w:cs="Arial"/>
          <w:sz w:val="24"/>
          <w:szCs w:val="24"/>
        </w:rPr>
        <w:t xml:space="preserve">A altura foi medida através de um </w:t>
      </w:r>
      <w:proofErr w:type="spellStart"/>
      <w:r>
        <w:rPr>
          <w:rFonts w:ascii="Arial" w:eastAsia="Arial" w:hAnsi="Arial" w:cs="Arial"/>
          <w:sz w:val="24"/>
          <w:szCs w:val="24"/>
        </w:rPr>
        <w:t>estadiômetro</w:t>
      </w:r>
      <w:proofErr w:type="spellEnd"/>
      <w:r>
        <w:rPr>
          <w:rFonts w:ascii="Arial" w:eastAsia="Arial" w:hAnsi="Arial" w:cs="Arial"/>
          <w:sz w:val="24"/>
          <w:szCs w:val="24"/>
        </w:rPr>
        <w:t>, graduado em centímetros e decímetros de centímetros. O avaliado deve estar em pé, descalço, com os calcanhares juntos, costas retas e os braços estendidos ao lado do corpo, com a cabeça ereta e os olhos fixos à frente, na linha do horizonte (NACIF; VIEBIG, 2011).</w:t>
      </w:r>
    </w:p>
    <w:p w:rsidR="0045285D" w:rsidRDefault="00BA7515">
      <w:pPr>
        <w:spacing w:before="240" w:after="240" w:line="360" w:lineRule="auto"/>
        <w:ind w:firstLine="700"/>
        <w:jc w:val="both"/>
        <w:rPr>
          <w:rFonts w:ascii="Arial" w:eastAsia="Arial" w:hAnsi="Arial" w:cs="Arial"/>
          <w:sz w:val="24"/>
          <w:szCs w:val="24"/>
        </w:rPr>
      </w:pPr>
      <w:r>
        <w:rPr>
          <w:rFonts w:ascii="Arial" w:eastAsia="Arial" w:hAnsi="Arial" w:cs="Arial"/>
          <w:sz w:val="24"/>
          <w:szCs w:val="24"/>
        </w:rPr>
        <w:lastRenderedPageBreak/>
        <w:tab/>
        <w:t>As circunferências avaliadas serão circunferência de braço, cintura, quadril, coxa e panturrilha.</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 xml:space="preserve">A circunferência do braço foi medida com os braços soltos, ao longo do tronco e as mãos viradas para a coxa e determinado no nível mediano entre o processo </w:t>
      </w:r>
      <w:proofErr w:type="spellStart"/>
      <w:r>
        <w:rPr>
          <w:rFonts w:ascii="Arial" w:eastAsia="Arial" w:hAnsi="Arial" w:cs="Arial"/>
          <w:sz w:val="24"/>
          <w:szCs w:val="24"/>
        </w:rPr>
        <w:t>acromial</w:t>
      </w:r>
      <w:proofErr w:type="spellEnd"/>
      <w:r>
        <w:rPr>
          <w:rFonts w:ascii="Arial" w:eastAsia="Arial" w:hAnsi="Arial" w:cs="Arial"/>
          <w:sz w:val="24"/>
          <w:szCs w:val="24"/>
        </w:rPr>
        <w:t xml:space="preserve"> da escápula e o </w:t>
      </w:r>
      <w:proofErr w:type="spellStart"/>
      <w:r>
        <w:rPr>
          <w:rFonts w:ascii="Arial" w:eastAsia="Arial" w:hAnsi="Arial" w:cs="Arial"/>
          <w:sz w:val="24"/>
          <w:szCs w:val="24"/>
        </w:rPr>
        <w:t>olécrano</w:t>
      </w:r>
      <w:proofErr w:type="spellEnd"/>
      <w:r>
        <w:rPr>
          <w:rFonts w:ascii="Arial" w:eastAsia="Arial" w:hAnsi="Arial" w:cs="Arial"/>
          <w:sz w:val="24"/>
          <w:szCs w:val="24"/>
        </w:rPr>
        <w:t xml:space="preserve">. A circunferência de cintura foi medida no ponto médio entre o último arco costal e a crista ilíaca, no sentido horizontal. A circunferência de quadril foi medida no nível de maior protuberância posterior dos glúteos, no sentido horizontal. A circunferência da coxa foi medida no ponto médio da distância entre a linha inguinal e a borda proximal da </w:t>
      </w:r>
      <w:proofErr w:type="spellStart"/>
      <w:r>
        <w:rPr>
          <w:rFonts w:ascii="Arial" w:eastAsia="Arial" w:hAnsi="Arial" w:cs="Arial"/>
          <w:sz w:val="24"/>
          <w:szCs w:val="24"/>
        </w:rPr>
        <w:t>petela</w:t>
      </w:r>
      <w:proofErr w:type="spellEnd"/>
      <w:r>
        <w:rPr>
          <w:rFonts w:ascii="Arial" w:eastAsia="Arial" w:hAnsi="Arial" w:cs="Arial"/>
          <w:sz w:val="24"/>
          <w:szCs w:val="24"/>
        </w:rPr>
        <w:t>. A circunferência da panturrilha foi medida no perímetro máximo do músculo, no sentido horizontal (NACIF; VIEBIG, 2011).</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 xml:space="preserve">As dobras cutâneas avaliadas serão tríceps, </w:t>
      </w:r>
      <w:proofErr w:type="spellStart"/>
      <w:r>
        <w:rPr>
          <w:rFonts w:ascii="Arial" w:eastAsia="Arial" w:hAnsi="Arial" w:cs="Arial"/>
          <w:sz w:val="24"/>
          <w:szCs w:val="24"/>
        </w:rPr>
        <w:t>suprailíaca</w:t>
      </w:r>
      <w:proofErr w:type="spellEnd"/>
      <w:r>
        <w:rPr>
          <w:rFonts w:ascii="Arial" w:eastAsia="Arial" w:hAnsi="Arial" w:cs="Arial"/>
          <w:sz w:val="24"/>
          <w:szCs w:val="24"/>
        </w:rPr>
        <w:t xml:space="preserve"> e coxa para o cálculo do percentual de gordura de acordo com a equação preditiva de Jackson e Pollock (1980) para mulheres.</w:t>
      </w:r>
    </w:p>
    <w:p w:rsidR="0045285D" w:rsidRDefault="00BA7515">
      <w:pPr>
        <w:spacing w:before="240" w:after="240" w:line="360" w:lineRule="auto"/>
        <w:ind w:firstLine="720"/>
        <w:jc w:val="both"/>
        <w:rPr>
          <w:rFonts w:ascii="Arial" w:eastAsia="Arial" w:hAnsi="Arial" w:cs="Arial"/>
          <w:b/>
          <w:sz w:val="24"/>
          <w:szCs w:val="24"/>
        </w:rPr>
      </w:pPr>
      <w:r>
        <w:rPr>
          <w:rFonts w:ascii="Arial" w:eastAsia="Arial" w:hAnsi="Arial" w:cs="Arial"/>
          <w:sz w:val="24"/>
          <w:szCs w:val="24"/>
        </w:rPr>
        <w:t xml:space="preserve">A dobra cutânea do tríceps foi medida na face posterior do braço, paralelamente ao eixo longitudinal, no ponto que compreende a metade da distância entre a borda </w:t>
      </w:r>
      <w:proofErr w:type="spellStart"/>
      <w:r>
        <w:rPr>
          <w:rFonts w:ascii="Arial" w:eastAsia="Arial" w:hAnsi="Arial" w:cs="Arial"/>
          <w:sz w:val="24"/>
          <w:szCs w:val="24"/>
        </w:rPr>
        <w:t>superolateral</w:t>
      </w:r>
      <w:proofErr w:type="spellEnd"/>
      <w:r>
        <w:rPr>
          <w:rFonts w:ascii="Arial" w:eastAsia="Arial" w:hAnsi="Arial" w:cs="Arial"/>
          <w:sz w:val="24"/>
          <w:szCs w:val="24"/>
        </w:rPr>
        <w:t xml:space="preserve"> do acrômio e o </w:t>
      </w:r>
      <w:proofErr w:type="spellStart"/>
      <w:r>
        <w:rPr>
          <w:rFonts w:ascii="Arial" w:eastAsia="Arial" w:hAnsi="Arial" w:cs="Arial"/>
          <w:sz w:val="24"/>
          <w:szCs w:val="24"/>
        </w:rPr>
        <w:t>olécrano</w:t>
      </w:r>
      <w:proofErr w:type="spellEnd"/>
      <w:r>
        <w:rPr>
          <w:rFonts w:ascii="Arial" w:eastAsia="Arial" w:hAnsi="Arial" w:cs="Arial"/>
          <w:sz w:val="24"/>
          <w:szCs w:val="24"/>
        </w:rPr>
        <w:t xml:space="preserve">. A dobra cutânea </w:t>
      </w:r>
      <w:proofErr w:type="spellStart"/>
      <w:r>
        <w:rPr>
          <w:rFonts w:ascii="Arial" w:eastAsia="Arial" w:hAnsi="Arial" w:cs="Arial"/>
          <w:sz w:val="24"/>
          <w:szCs w:val="24"/>
        </w:rPr>
        <w:t>suprailíaca</w:t>
      </w:r>
      <w:proofErr w:type="spellEnd"/>
      <w:r>
        <w:rPr>
          <w:rFonts w:ascii="Arial" w:eastAsia="Arial" w:hAnsi="Arial" w:cs="Arial"/>
          <w:sz w:val="24"/>
          <w:szCs w:val="24"/>
        </w:rPr>
        <w:t xml:space="preserve"> foi medida na distância entre o último arco costal e a crista ilíaca, sobre a linha axilar medial. A dobra cutânea da coxa foi medida no ponto médio entre a linha inguinal e a borda proximal da patela (NACIF; VIEBIG, 2011).</w:t>
      </w:r>
    </w:p>
    <w:p w:rsidR="0045285D" w:rsidRDefault="00BA7515">
      <w:pPr>
        <w:spacing w:before="240" w:after="240" w:line="360" w:lineRule="auto"/>
        <w:ind w:firstLine="720"/>
        <w:jc w:val="both"/>
        <w:rPr>
          <w:rFonts w:ascii="Arial" w:eastAsia="Arial" w:hAnsi="Arial" w:cs="Arial"/>
          <w:sz w:val="24"/>
          <w:szCs w:val="24"/>
        </w:rPr>
      </w:pPr>
      <w:r>
        <w:rPr>
          <w:rFonts w:ascii="Arial" w:eastAsia="Arial" w:hAnsi="Arial" w:cs="Arial"/>
          <w:sz w:val="24"/>
          <w:szCs w:val="24"/>
        </w:rPr>
        <w:t>Foram recrutadas 20 participantes, porém ao final do estudo apenas 8 se mantiveram disponíveis e dentro dos critérios de inclusão. As participantes que deixaram de treinar 25% do total de sessões programadas (até 9 vezes não consecutivas) durante o protocolo experimental, participantes que não aderiram ao protocolo de suplementação corretamente ou não estavam aptas a realizar o teste de carga máxima foram excluídas do estudo. A partir desses critérios, 12 participantes foram excluídas do estudo.</w:t>
      </w:r>
    </w:p>
    <w:p w:rsidR="0045285D" w:rsidRDefault="00BA7515">
      <w:pPr>
        <w:spacing w:before="240" w:after="240" w:line="360" w:lineRule="auto"/>
        <w:ind w:firstLine="400"/>
        <w:jc w:val="both"/>
        <w:rPr>
          <w:rFonts w:ascii="Arial" w:eastAsia="Arial" w:hAnsi="Arial" w:cs="Arial"/>
          <w:sz w:val="24"/>
          <w:szCs w:val="24"/>
          <w:highlight w:val="yellow"/>
        </w:rPr>
      </w:pPr>
      <w:r>
        <w:rPr>
          <w:rFonts w:ascii="Arial" w:eastAsia="Arial" w:hAnsi="Arial" w:cs="Arial"/>
          <w:sz w:val="24"/>
          <w:szCs w:val="24"/>
        </w:rPr>
        <w:t>Os dados foram coletados e tabulados no programa Microsoft Excel. Após a tabulação, os dados foram observados e analisados. As análise</w:t>
      </w:r>
      <w:r w:rsidRPr="00EC5A9F">
        <w:rPr>
          <w:rFonts w:ascii="Arial" w:eastAsia="Arial" w:hAnsi="Arial" w:cs="Arial"/>
          <w:sz w:val="24"/>
          <w:szCs w:val="24"/>
        </w:rPr>
        <w:t xml:space="preserve">s estatísticas foram feitas após a análise de normalidade dos dados, realizada pelo teste de </w:t>
      </w:r>
      <w:proofErr w:type="spellStart"/>
      <w:r w:rsidR="00EC5A9F" w:rsidRPr="00EC5A9F">
        <w:rPr>
          <w:rFonts w:ascii="Arial" w:eastAsia="Arial" w:hAnsi="Arial" w:cs="Arial"/>
          <w:sz w:val="24"/>
          <w:szCs w:val="24"/>
        </w:rPr>
        <w:t>Kolmogorov</w:t>
      </w:r>
      <w:proofErr w:type="spellEnd"/>
      <w:r w:rsidR="00EC5A9F" w:rsidRPr="00EC5A9F">
        <w:rPr>
          <w:rFonts w:ascii="Arial" w:eastAsia="Arial" w:hAnsi="Arial" w:cs="Arial"/>
          <w:sz w:val="24"/>
          <w:szCs w:val="24"/>
        </w:rPr>
        <w:t>-Smirnoff.</w:t>
      </w:r>
    </w:p>
    <w:p w:rsidR="0045285D" w:rsidRDefault="00BA7515">
      <w:pPr>
        <w:spacing w:before="240" w:after="240" w:line="360" w:lineRule="auto"/>
        <w:ind w:firstLine="400"/>
        <w:jc w:val="both"/>
        <w:rPr>
          <w:rFonts w:ascii="Arial" w:eastAsia="Arial" w:hAnsi="Arial" w:cs="Arial"/>
          <w:sz w:val="24"/>
          <w:szCs w:val="24"/>
        </w:rPr>
      </w:pPr>
      <w:r>
        <w:rPr>
          <w:rFonts w:ascii="Arial" w:eastAsia="Arial" w:hAnsi="Arial" w:cs="Arial"/>
          <w:sz w:val="24"/>
          <w:szCs w:val="24"/>
        </w:rPr>
        <w:lastRenderedPageBreak/>
        <w:t xml:space="preserve">Foram feitas comparações com dados da literatura e dos momentos </w:t>
      </w:r>
      <w:proofErr w:type="spellStart"/>
      <w:r>
        <w:rPr>
          <w:rFonts w:ascii="Arial" w:eastAsia="Arial" w:hAnsi="Arial" w:cs="Arial"/>
          <w:sz w:val="24"/>
          <w:szCs w:val="24"/>
        </w:rPr>
        <w:t>Pré</w:t>
      </w:r>
      <w:proofErr w:type="spellEnd"/>
      <w:r>
        <w:rPr>
          <w:rFonts w:ascii="Arial" w:eastAsia="Arial" w:hAnsi="Arial" w:cs="Arial"/>
          <w:sz w:val="24"/>
          <w:szCs w:val="24"/>
        </w:rPr>
        <w:t xml:space="preserve"> e Pós, através do teste T de </w:t>
      </w:r>
      <w:proofErr w:type="spellStart"/>
      <w:r>
        <w:rPr>
          <w:rFonts w:ascii="Arial" w:eastAsia="Arial" w:hAnsi="Arial" w:cs="Arial"/>
          <w:sz w:val="24"/>
          <w:szCs w:val="24"/>
        </w:rPr>
        <w:t>Student</w:t>
      </w:r>
      <w:proofErr w:type="spellEnd"/>
      <w:r>
        <w:rPr>
          <w:rFonts w:ascii="Arial" w:eastAsia="Arial" w:hAnsi="Arial" w:cs="Arial"/>
          <w:sz w:val="24"/>
          <w:szCs w:val="24"/>
        </w:rPr>
        <w:t>. Também foram realizadas correlações de Pearson entre as variáveis. O software estatístico utilizado foi o SPSS, versão 20, da IBM. A significância foi determinada a p&lt;0,05.</w:t>
      </w:r>
    </w:p>
    <w:p w:rsidR="0045285D" w:rsidRDefault="0045285D" w:rsidP="00EC5A9F">
      <w:pPr>
        <w:spacing w:before="240" w:after="240" w:line="360" w:lineRule="auto"/>
        <w:jc w:val="both"/>
        <w:rPr>
          <w:rFonts w:ascii="Arial" w:eastAsia="Arial" w:hAnsi="Arial" w:cs="Arial"/>
          <w:sz w:val="24"/>
          <w:szCs w:val="24"/>
        </w:rPr>
      </w:pP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3.1 CONSIDERAÇÕES ÉTICAS</w:t>
      </w:r>
    </w:p>
    <w:p w:rsidR="0045285D" w:rsidRDefault="00BA7515">
      <w:pPr>
        <w:spacing w:before="240" w:after="240" w:line="360" w:lineRule="auto"/>
        <w:ind w:firstLine="700"/>
        <w:jc w:val="both"/>
        <w:rPr>
          <w:rFonts w:ascii="Arial" w:eastAsia="Arial" w:hAnsi="Arial" w:cs="Arial"/>
          <w:sz w:val="24"/>
          <w:szCs w:val="24"/>
        </w:rPr>
      </w:pPr>
      <w:r>
        <w:rPr>
          <w:rFonts w:ascii="Arial" w:eastAsia="Arial" w:hAnsi="Arial" w:cs="Arial"/>
          <w:sz w:val="24"/>
          <w:szCs w:val="24"/>
        </w:rPr>
        <w:t xml:space="preserve">Esse projeto de pesquisa foi enviado para avaliação do Comitê de Ética da Universidade antes de sua execução. Todos os procedimentos aqui descritos estão de acordo com a resolução 510/16 do CNS/MS. </w:t>
      </w:r>
    </w:p>
    <w:p w:rsidR="0045285D" w:rsidRDefault="00BA7515">
      <w:pPr>
        <w:spacing w:before="240" w:after="240" w:line="360" w:lineRule="auto"/>
        <w:ind w:firstLine="700"/>
        <w:jc w:val="both"/>
        <w:rPr>
          <w:rFonts w:ascii="Arial" w:eastAsia="Arial" w:hAnsi="Arial" w:cs="Arial"/>
          <w:sz w:val="24"/>
          <w:szCs w:val="24"/>
        </w:rPr>
      </w:pPr>
      <w:r>
        <w:rPr>
          <w:rFonts w:ascii="Arial" w:eastAsia="Arial" w:hAnsi="Arial" w:cs="Arial"/>
          <w:sz w:val="24"/>
          <w:szCs w:val="24"/>
        </w:rPr>
        <w:t>Os protocolos experimentais realizados foram aprovados pelo Comitê de ética da UPM sob o registro no protocolo n</w:t>
      </w:r>
      <w:r>
        <w:rPr>
          <w:rFonts w:ascii="Arial" w:eastAsia="Arial" w:hAnsi="Arial" w:cs="Arial"/>
          <w:sz w:val="24"/>
          <w:szCs w:val="24"/>
          <w:vertAlign w:val="superscript"/>
        </w:rPr>
        <w:t xml:space="preserve">o </w:t>
      </w:r>
      <w:r>
        <w:rPr>
          <w:rFonts w:ascii="Arial" w:eastAsia="Arial" w:hAnsi="Arial" w:cs="Arial"/>
          <w:sz w:val="24"/>
          <w:szCs w:val="24"/>
        </w:rPr>
        <w:t>CAAE:</w:t>
      </w:r>
      <w:r>
        <w:rPr>
          <w:rFonts w:ascii="Arial" w:eastAsia="Arial" w:hAnsi="Arial" w:cs="Arial"/>
          <w:b/>
          <w:sz w:val="24"/>
          <w:szCs w:val="24"/>
        </w:rPr>
        <w:t> </w:t>
      </w:r>
      <w:r>
        <w:rPr>
          <w:rFonts w:ascii="Arial" w:eastAsia="Arial" w:hAnsi="Arial" w:cs="Arial"/>
          <w:sz w:val="24"/>
          <w:szCs w:val="24"/>
        </w:rPr>
        <w:t>10285319.6.0000.0084, conforme parecer em anexo.</w:t>
      </w:r>
    </w:p>
    <w:p w:rsidR="0045285D" w:rsidRDefault="0045285D">
      <w:pPr>
        <w:spacing w:before="240" w:after="240" w:line="360" w:lineRule="auto"/>
        <w:ind w:firstLine="700"/>
        <w:jc w:val="both"/>
        <w:rPr>
          <w:rFonts w:ascii="Arial" w:eastAsia="Arial" w:hAnsi="Arial" w:cs="Arial"/>
          <w:sz w:val="24"/>
          <w:szCs w:val="24"/>
        </w:rPr>
      </w:pPr>
    </w:p>
    <w:p w:rsidR="0045285D" w:rsidRDefault="00BA7515">
      <w:pPr>
        <w:rPr>
          <w:rFonts w:ascii="Arial" w:eastAsia="Arial" w:hAnsi="Arial" w:cs="Arial"/>
          <w:b/>
          <w:sz w:val="24"/>
          <w:szCs w:val="24"/>
        </w:rPr>
      </w:pPr>
      <w:r>
        <w:rPr>
          <w:rFonts w:ascii="Arial" w:eastAsia="Arial" w:hAnsi="Arial" w:cs="Arial"/>
          <w:b/>
          <w:sz w:val="24"/>
          <w:szCs w:val="24"/>
        </w:rPr>
        <w:t>4. RESULTADOS E DISCUSSÃO</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O objetivo deste trabalho foi avaliar os efeitos da suplementação de TT na composição corporal e no desempenho de praticantes de treinamento de força e resistência do sexo feminino. </w:t>
      </w:r>
    </w:p>
    <w:p w:rsidR="0045285D" w:rsidRPr="00EC5A9F"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Foram incluídos no estudo 8 indivíduos do sexo feminino com idade média de 22,25 ± 2,25 anos. Como pode ser visto na Tabela 1, não houve diferença significativa no peso, e consequentemente no IMC, quando comparado o período </w:t>
      </w:r>
      <w:proofErr w:type="spellStart"/>
      <w:r>
        <w:rPr>
          <w:rFonts w:ascii="Arial" w:eastAsia="Arial" w:hAnsi="Arial" w:cs="Arial"/>
          <w:sz w:val="24"/>
          <w:szCs w:val="24"/>
        </w:rPr>
        <w:t>pré</w:t>
      </w:r>
      <w:proofErr w:type="spellEnd"/>
      <w:r>
        <w:rPr>
          <w:rFonts w:ascii="Arial" w:eastAsia="Arial" w:hAnsi="Arial" w:cs="Arial"/>
          <w:sz w:val="24"/>
          <w:szCs w:val="24"/>
        </w:rPr>
        <w:t xml:space="preserve"> e pós suplementação. </w:t>
      </w:r>
    </w:p>
    <w:p w:rsidR="0045285D" w:rsidRDefault="00BA7515" w:rsidP="00EC5A9F">
      <w:pPr>
        <w:spacing w:line="240" w:lineRule="auto"/>
        <w:rPr>
          <w:rFonts w:ascii="Arial" w:eastAsia="Arial" w:hAnsi="Arial" w:cs="Arial"/>
          <w:sz w:val="24"/>
          <w:szCs w:val="24"/>
        </w:rPr>
      </w:pPr>
      <w:r w:rsidRPr="00EC5A9F">
        <w:rPr>
          <w:rFonts w:ascii="Arial" w:eastAsia="Arial" w:hAnsi="Arial" w:cs="Arial"/>
          <w:sz w:val="24"/>
          <w:szCs w:val="24"/>
        </w:rPr>
        <w:t>Tabela 1 –Média e desvio padrão do peso, altura e IMC dos indivíduos. São Paulo, 2019.</w:t>
      </w:r>
    </w:p>
    <w:tbl>
      <w:tblPr>
        <w:tblStyle w:val="a"/>
        <w:tblW w:w="878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708"/>
        <w:gridCol w:w="2708"/>
        <w:gridCol w:w="3373"/>
      </w:tblGrid>
      <w:tr w:rsidR="0045285D">
        <w:trPr>
          <w:trHeight w:val="480"/>
        </w:trPr>
        <w:tc>
          <w:tcPr>
            <w:tcW w:w="2708" w:type="dxa"/>
            <w:vMerge w:val="restart"/>
            <w:tcBorders>
              <w:top w:val="single" w:sz="4" w:space="0" w:color="000000"/>
            </w:tcBorders>
          </w:tcPr>
          <w:p w:rsidR="0045285D" w:rsidRDefault="00BA7515" w:rsidP="00EC5A9F">
            <w:pPr>
              <w:jc w:val="center"/>
              <w:rPr>
                <w:rFonts w:ascii="Arial" w:eastAsia="Arial" w:hAnsi="Arial" w:cs="Arial"/>
              </w:rPr>
            </w:pPr>
            <w:r>
              <w:rPr>
                <w:rFonts w:ascii="Arial" w:eastAsia="Arial" w:hAnsi="Arial" w:cs="Arial"/>
              </w:rPr>
              <w:t>Variáveis</w:t>
            </w:r>
          </w:p>
        </w:tc>
        <w:tc>
          <w:tcPr>
            <w:tcW w:w="6081" w:type="dxa"/>
            <w:gridSpan w:val="2"/>
            <w:tcBorders>
              <w:top w:val="single" w:sz="4" w:space="0" w:color="000000"/>
            </w:tcBorders>
          </w:tcPr>
          <w:p w:rsidR="0045285D" w:rsidRDefault="00BA7515" w:rsidP="00EC5A9F">
            <w:pPr>
              <w:jc w:val="center"/>
              <w:rPr>
                <w:rFonts w:ascii="Arial" w:eastAsia="Arial" w:hAnsi="Arial" w:cs="Arial"/>
              </w:rPr>
            </w:pPr>
            <w:r>
              <w:rPr>
                <w:rFonts w:ascii="Arial" w:eastAsia="Arial" w:hAnsi="Arial" w:cs="Arial"/>
              </w:rPr>
              <w:t>Números</w:t>
            </w:r>
          </w:p>
        </w:tc>
      </w:tr>
      <w:tr w:rsidR="0045285D">
        <w:trPr>
          <w:trHeight w:val="200"/>
        </w:trPr>
        <w:tc>
          <w:tcPr>
            <w:tcW w:w="2708" w:type="dxa"/>
            <w:vMerge/>
            <w:tcBorders>
              <w:top w:val="single" w:sz="4" w:space="0" w:color="000000"/>
            </w:tcBorders>
          </w:tcPr>
          <w:p w:rsidR="0045285D" w:rsidRDefault="0045285D" w:rsidP="00EC5A9F">
            <w:pPr>
              <w:widowControl w:val="0"/>
              <w:pBdr>
                <w:top w:val="nil"/>
                <w:left w:val="nil"/>
                <w:bottom w:val="nil"/>
                <w:right w:val="nil"/>
                <w:between w:val="nil"/>
              </w:pBdr>
              <w:rPr>
                <w:rFonts w:ascii="Arial" w:eastAsia="Arial" w:hAnsi="Arial" w:cs="Arial"/>
              </w:rPr>
            </w:pPr>
          </w:p>
        </w:tc>
        <w:tc>
          <w:tcPr>
            <w:tcW w:w="2708" w:type="dxa"/>
            <w:tcBorders>
              <w:bottom w:val="single" w:sz="4" w:space="0" w:color="000000"/>
            </w:tcBorders>
          </w:tcPr>
          <w:p w:rsidR="0045285D" w:rsidRDefault="00BA7515" w:rsidP="00EC5A9F">
            <w:pPr>
              <w:jc w:val="center"/>
              <w:rPr>
                <w:rFonts w:ascii="Arial" w:eastAsia="Arial" w:hAnsi="Arial" w:cs="Arial"/>
              </w:rPr>
            </w:pPr>
            <w:proofErr w:type="spellStart"/>
            <w:r>
              <w:rPr>
                <w:rFonts w:ascii="Arial" w:eastAsia="Arial" w:hAnsi="Arial" w:cs="Arial"/>
              </w:rPr>
              <w:t>Pré</w:t>
            </w:r>
            <w:proofErr w:type="spellEnd"/>
          </w:p>
        </w:tc>
        <w:tc>
          <w:tcPr>
            <w:tcW w:w="3373" w:type="dxa"/>
            <w:tcBorders>
              <w:bottom w:val="single" w:sz="4" w:space="0" w:color="000000"/>
            </w:tcBorders>
          </w:tcPr>
          <w:p w:rsidR="0045285D" w:rsidRDefault="00BA7515" w:rsidP="00EC5A9F">
            <w:pPr>
              <w:jc w:val="center"/>
              <w:rPr>
                <w:rFonts w:ascii="Arial" w:eastAsia="Arial" w:hAnsi="Arial" w:cs="Arial"/>
              </w:rPr>
            </w:pPr>
            <w:r>
              <w:rPr>
                <w:rFonts w:ascii="Arial" w:eastAsia="Arial" w:hAnsi="Arial" w:cs="Arial"/>
              </w:rPr>
              <w:t>Pós</w:t>
            </w:r>
          </w:p>
        </w:tc>
      </w:tr>
      <w:tr w:rsidR="0045285D">
        <w:trPr>
          <w:trHeight w:val="480"/>
        </w:trPr>
        <w:tc>
          <w:tcPr>
            <w:tcW w:w="2708" w:type="dxa"/>
          </w:tcPr>
          <w:p w:rsidR="0045285D" w:rsidRDefault="00BA7515" w:rsidP="00EC5A9F">
            <w:pPr>
              <w:jc w:val="center"/>
              <w:rPr>
                <w:rFonts w:ascii="Arial" w:eastAsia="Arial" w:hAnsi="Arial" w:cs="Arial"/>
              </w:rPr>
            </w:pPr>
            <w:r>
              <w:rPr>
                <w:rFonts w:ascii="Arial" w:eastAsia="Arial" w:hAnsi="Arial" w:cs="Arial"/>
              </w:rPr>
              <w:t>Peso (kg)</w:t>
            </w:r>
          </w:p>
        </w:tc>
        <w:tc>
          <w:tcPr>
            <w:tcW w:w="2708" w:type="dxa"/>
          </w:tcPr>
          <w:p w:rsidR="0045285D" w:rsidRDefault="00BA7515" w:rsidP="00EC5A9F">
            <w:pPr>
              <w:jc w:val="center"/>
              <w:rPr>
                <w:rFonts w:ascii="Arial" w:eastAsia="Arial" w:hAnsi="Arial" w:cs="Arial"/>
              </w:rPr>
            </w:pPr>
            <w:r>
              <w:rPr>
                <w:rFonts w:ascii="Arial" w:eastAsia="Arial" w:hAnsi="Arial" w:cs="Arial"/>
              </w:rPr>
              <w:t>57,12 ± 5,67</w:t>
            </w:r>
          </w:p>
        </w:tc>
        <w:tc>
          <w:tcPr>
            <w:tcW w:w="3373" w:type="dxa"/>
          </w:tcPr>
          <w:p w:rsidR="0045285D" w:rsidRDefault="00BA7515" w:rsidP="00EC5A9F">
            <w:pPr>
              <w:jc w:val="center"/>
              <w:rPr>
                <w:rFonts w:ascii="Arial" w:eastAsia="Arial" w:hAnsi="Arial" w:cs="Arial"/>
              </w:rPr>
            </w:pPr>
            <w:r>
              <w:rPr>
                <w:rFonts w:ascii="Arial" w:eastAsia="Arial" w:hAnsi="Arial" w:cs="Arial"/>
              </w:rPr>
              <w:t>57 ± 5,89</w:t>
            </w:r>
          </w:p>
        </w:tc>
      </w:tr>
      <w:tr w:rsidR="0045285D">
        <w:trPr>
          <w:trHeight w:val="480"/>
        </w:trPr>
        <w:tc>
          <w:tcPr>
            <w:tcW w:w="2708" w:type="dxa"/>
          </w:tcPr>
          <w:p w:rsidR="0045285D" w:rsidRDefault="00BA7515" w:rsidP="00EC5A9F">
            <w:pPr>
              <w:jc w:val="center"/>
              <w:rPr>
                <w:rFonts w:ascii="Arial" w:eastAsia="Arial" w:hAnsi="Arial" w:cs="Arial"/>
              </w:rPr>
            </w:pPr>
            <w:r>
              <w:rPr>
                <w:rFonts w:ascii="Arial" w:eastAsia="Arial" w:hAnsi="Arial" w:cs="Arial"/>
              </w:rPr>
              <w:t>Altura (m)</w:t>
            </w:r>
          </w:p>
        </w:tc>
        <w:tc>
          <w:tcPr>
            <w:tcW w:w="2708" w:type="dxa"/>
          </w:tcPr>
          <w:p w:rsidR="0045285D" w:rsidRDefault="00BA7515" w:rsidP="00EC5A9F">
            <w:pPr>
              <w:jc w:val="center"/>
              <w:rPr>
                <w:rFonts w:ascii="Arial" w:eastAsia="Arial" w:hAnsi="Arial" w:cs="Arial"/>
              </w:rPr>
            </w:pPr>
            <w:r>
              <w:rPr>
                <w:rFonts w:ascii="Arial" w:eastAsia="Arial" w:hAnsi="Arial" w:cs="Arial"/>
              </w:rPr>
              <w:t>1,62 ±0,08</w:t>
            </w:r>
          </w:p>
        </w:tc>
        <w:tc>
          <w:tcPr>
            <w:tcW w:w="3373" w:type="dxa"/>
          </w:tcPr>
          <w:p w:rsidR="0045285D" w:rsidRDefault="00BA7515" w:rsidP="00EC5A9F">
            <w:pPr>
              <w:jc w:val="center"/>
              <w:rPr>
                <w:rFonts w:ascii="Arial" w:eastAsia="Arial" w:hAnsi="Arial" w:cs="Arial"/>
              </w:rPr>
            </w:pPr>
            <w:r>
              <w:rPr>
                <w:rFonts w:ascii="Arial" w:eastAsia="Arial" w:hAnsi="Arial" w:cs="Arial"/>
              </w:rPr>
              <w:t>1,62 ±0,08</w:t>
            </w:r>
          </w:p>
        </w:tc>
      </w:tr>
      <w:tr w:rsidR="0045285D">
        <w:trPr>
          <w:trHeight w:val="520"/>
        </w:trPr>
        <w:tc>
          <w:tcPr>
            <w:tcW w:w="2708" w:type="dxa"/>
            <w:tcBorders>
              <w:bottom w:val="single" w:sz="4" w:space="0" w:color="000000"/>
            </w:tcBorders>
          </w:tcPr>
          <w:p w:rsidR="0045285D" w:rsidRDefault="00BA7515" w:rsidP="00EC5A9F">
            <w:pPr>
              <w:jc w:val="center"/>
              <w:rPr>
                <w:rFonts w:ascii="Arial" w:eastAsia="Arial" w:hAnsi="Arial" w:cs="Arial"/>
              </w:rPr>
            </w:pPr>
            <w:r>
              <w:rPr>
                <w:rFonts w:ascii="Arial" w:eastAsia="Arial" w:hAnsi="Arial" w:cs="Arial"/>
              </w:rPr>
              <w:t>IMC (kg/m2)</w:t>
            </w:r>
          </w:p>
        </w:tc>
        <w:tc>
          <w:tcPr>
            <w:tcW w:w="2708" w:type="dxa"/>
            <w:tcBorders>
              <w:bottom w:val="single" w:sz="4" w:space="0" w:color="000000"/>
            </w:tcBorders>
          </w:tcPr>
          <w:p w:rsidR="0045285D" w:rsidRDefault="00BA7515" w:rsidP="00EC5A9F">
            <w:pPr>
              <w:jc w:val="center"/>
              <w:rPr>
                <w:rFonts w:ascii="Arial" w:eastAsia="Arial" w:hAnsi="Arial" w:cs="Arial"/>
              </w:rPr>
            </w:pPr>
            <w:r>
              <w:rPr>
                <w:rFonts w:ascii="Arial" w:eastAsia="Arial" w:hAnsi="Arial" w:cs="Arial"/>
              </w:rPr>
              <w:t>21,81 ±1,11</w:t>
            </w:r>
          </w:p>
        </w:tc>
        <w:tc>
          <w:tcPr>
            <w:tcW w:w="3373" w:type="dxa"/>
            <w:tcBorders>
              <w:bottom w:val="single" w:sz="4" w:space="0" w:color="000000"/>
            </w:tcBorders>
          </w:tcPr>
          <w:p w:rsidR="0045285D" w:rsidRDefault="00BA7515" w:rsidP="00EC5A9F">
            <w:pPr>
              <w:jc w:val="center"/>
              <w:rPr>
                <w:rFonts w:ascii="Arial" w:eastAsia="Arial" w:hAnsi="Arial" w:cs="Arial"/>
              </w:rPr>
            </w:pPr>
            <w:r>
              <w:rPr>
                <w:rFonts w:ascii="Arial" w:eastAsia="Arial" w:hAnsi="Arial" w:cs="Arial"/>
              </w:rPr>
              <w:t>21,77 ±3,63</w:t>
            </w:r>
          </w:p>
        </w:tc>
      </w:tr>
    </w:tbl>
    <w:p w:rsidR="0045285D" w:rsidRDefault="00BA7515">
      <w:pPr>
        <w:spacing w:before="240" w:line="360" w:lineRule="auto"/>
        <w:ind w:firstLine="720"/>
        <w:jc w:val="both"/>
        <w:rPr>
          <w:rFonts w:ascii="Arial" w:eastAsia="Arial" w:hAnsi="Arial" w:cs="Arial"/>
          <w:sz w:val="24"/>
          <w:szCs w:val="24"/>
        </w:rPr>
      </w:pPr>
      <w:r>
        <w:rPr>
          <w:rFonts w:ascii="Arial" w:eastAsia="Arial" w:hAnsi="Arial" w:cs="Arial"/>
          <w:sz w:val="24"/>
          <w:szCs w:val="24"/>
        </w:rPr>
        <w:lastRenderedPageBreak/>
        <w:t xml:space="preserve">Em relação a composição corporal avaliada através da bioimpedância, nenhum dos dados teve diferença significativa quando comparado o período </w:t>
      </w:r>
      <w:proofErr w:type="spellStart"/>
      <w:r>
        <w:rPr>
          <w:rFonts w:ascii="Arial" w:eastAsia="Arial" w:hAnsi="Arial" w:cs="Arial"/>
          <w:sz w:val="24"/>
          <w:szCs w:val="24"/>
        </w:rPr>
        <w:t>pré</w:t>
      </w:r>
      <w:proofErr w:type="spellEnd"/>
      <w:r>
        <w:rPr>
          <w:rFonts w:ascii="Arial" w:eastAsia="Arial" w:hAnsi="Arial" w:cs="Arial"/>
          <w:sz w:val="24"/>
          <w:szCs w:val="24"/>
        </w:rPr>
        <w:t xml:space="preserve"> e pós suplementação. Os resultados da bioimpedância constam na Tabela 2.</w:t>
      </w:r>
    </w:p>
    <w:p w:rsidR="0045285D" w:rsidRDefault="00BA7515">
      <w:pPr>
        <w:spacing w:line="360" w:lineRule="auto"/>
        <w:rPr>
          <w:rFonts w:ascii="Arial" w:eastAsia="Arial" w:hAnsi="Arial" w:cs="Arial"/>
          <w:sz w:val="24"/>
          <w:szCs w:val="24"/>
        </w:rPr>
      </w:pPr>
      <w:r>
        <w:rPr>
          <w:rFonts w:ascii="Arial" w:eastAsia="Arial" w:hAnsi="Arial" w:cs="Arial"/>
          <w:sz w:val="24"/>
          <w:szCs w:val="24"/>
        </w:rPr>
        <w:t>Tabela 2 – Média e desvio padrão da composição corporal dos indivíduos analisado através da bioimpedância. São Paulo, 2019.</w:t>
      </w:r>
    </w:p>
    <w:tbl>
      <w:tblPr>
        <w:tblStyle w:val="a0"/>
        <w:tblW w:w="893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552"/>
        <w:gridCol w:w="2321"/>
        <w:gridCol w:w="3058"/>
      </w:tblGrid>
      <w:tr w:rsidR="0045285D">
        <w:trPr>
          <w:trHeight w:val="400"/>
        </w:trPr>
        <w:tc>
          <w:tcPr>
            <w:tcW w:w="3552" w:type="dxa"/>
            <w:vMerge w:val="restart"/>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Variáveis</w:t>
            </w:r>
          </w:p>
        </w:tc>
        <w:tc>
          <w:tcPr>
            <w:tcW w:w="5379" w:type="dxa"/>
            <w:gridSpan w:val="2"/>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Números</w:t>
            </w:r>
          </w:p>
        </w:tc>
      </w:tr>
      <w:tr w:rsidR="0045285D">
        <w:trPr>
          <w:trHeight w:val="400"/>
        </w:trPr>
        <w:tc>
          <w:tcPr>
            <w:tcW w:w="3552" w:type="dxa"/>
            <w:vMerge/>
            <w:tcBorders>
              <w:top w:val="single" w:sz="4" w:space="0" w:color="000000"/>
            </w:tcBorders>
          </w:tcPr>
          <w:p w:rsidR="0045285D" w:rsidRDefault="0045285D">
            <w:pPr>
              <w:widowControl w:val="0"/>
              <w:pBdr>
                <w:top w:val="nil"/>
                <w:left w:val="nil"/>
                <w:bottom w:val="nil"/>
                <w:right w:val="nil"/>
                <w:between w:val="nil"/>
              </w:pBdr>
              <w:spacing w:line="276" w:lineRule="auto"/>
              <w:rPr>
                <w:rFonts w:ascii="Arial" w:eastAsia="Arial" w:hAnsi="Arial" w:cs="Arial"/>
              </w:rPr>
            </w:pPr>
          </w:p>
        </w:tc>
        <w:tc>
          <w:tcPr>
            <w:tcW w:w="2321" w:type="dxa"/>
            <w:tcBorders>
              <w:bottom w:val="single" w:sz="4" w:space="0" w:color="000000"/>
            </w:tcBorders>
          </w:tcPr>
          <w:p w:rsidR="0045285D" w:rsidRDefault="00BA7515">
            <w:pPr>
              <w:spacing w:line="360" w:lineRule="auto"/>
              <w:jc w:val="center"/>
              <w:rPr>
                <w:rFonts w:ascii="Arial" w:eastAsia="Arial" w:hAnsi="Arial" w:cs="Arial"/>
              </w:rPr>
            </w:pPr>
            <w:proofErr w:type="spellStart"/>
            <w:r>
              <w:rPr>
                <w:rFonts w:ascii="Arial" w:eastAsia="Arial" w:hAnsi="Arial" w:cs="Arial"/>
              </w:rPr>
              <w:t>Pré</w:t>
            </w:r>
            <w:proofErr w:type="spellEnd"/>
          </w:p>
        </w:tc>
        <w:tc>
          <w:tcPr>
            <w:tcW w:w="3058"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Pós</w:t>
            </w:r>
          </w:p>
        </w:tc>
      </w:tr>
      <w:tr w:rsidR="0045285D">
        <w:trPr>
          <w:trHeight w:val="420"/>
        </w:trPr>
        <w:tc>
          <w:tcPr>
            <w:tcW w:w="3552"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 Gordura corporal</w:t>
            </w:r>
          </w:p>
        </w:tc>
        <w:tc>
          <w:tcPr>
            <w:tcW w:w="2321"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27,42 ±3,48</w:t>
            </w:r>
          </w:p>
        </w:tc>
        <w:tc>
          <w:tcPr>
            <w:tcW w:w="3058"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27,77 ±3,63</w:t>
            </w:r>
          </w:p>
        </w:tc>
      </w:tr>
      <w:tr w:rsidR="0045285D">
        <w:trPr>
          <w:trHeight w:val="400"/>
        </w:trPr>
        <w:tc>
          <w:tcPr>
            <w:tcW w:w="3552" w:type="dxa"/>
          </w:tcPr>
          <w:p w:rsidR="0045285D" w:rsidRDefault="00BA7515">
            <w:pPr>
              <w:spacing w:line="360" w:lineRule="auto"/>
              <w:jc w:val="center"/>
              <w:rPr>
                <w:rFonts w:ascii="Arial" w:eastAsia="Arial" w:hAnsi="Arial" w:cs="Arial"/>
              </w:rPr>
            </w:pPr>
            <w:r>
              <w:rPr>
                <w:rFonts w:ascii="Arial" w:eastAsia="Arial" w:hAnsi="Arial" w:cs="Arial"/>
              </w:rPr>
              <w:t>Gordura corporal (kg)</w:t>
            </w:r>
          </w:p>
        </w:tc>
        <w:tc>
          <w:tcPr>
            <w:tcW w:w="2321" w:type="dxa"/>
          </w:tcPr>
          <w:p w:rsidR="0045285D" w:rsidRDefault="00BA7515">
            <w:pPr>
              <w:spacing w:line="360" w:lineRule="auto"/>
              <w:jc w:val="center"/>
              <w:rPr>
                <w:rFonts w:ascii="Arial" w:eastAsia="Arial" w:hAnsi="Arial" w:cs="Arial"/>
                <w:vertAlign w:val="subscript"/>
              </w:rPr>
            </w:pPr>
            <w:r>
              <w:rPr>
                <w:rFonts w:ascii="Arial" w:eastAsia="Arial" w:hAnsi="Arial" w:cs="Arial"/>
              </w:rPr>
              <w:t>15,66 ±2,45</w:t>
            </w:r>
          </w:p>
        </w:tc>
        <w:tc>
          <w:tcPr>
            <w:tcW w:w="3058" w:type="dxa"/>
          </w:tcPr>
          <w:p w:rsidR="0045285D" w:rsidRDefault="00BA7515">
            <w:pPr>
              <w:spacing w:line="360" w:lineRule="auto"/>
              <w:jc w:val="center"/>
              <w:rPr>
                <w:rFonts w:ascii="Arial" w:eastAsia="Arial" w:hAnsi="Arial" w:cs="Arial"/>
              </w:rPr>
            </w:pPr>
            <w:r>
              <w:rPr>
                <w:rFonts w:ascii="Arial" w:eastAsia="Arial" w:hAnsi="Arial" w:cs="Arial"/>
              </w:rPr>
              <w:t>15,81 ±2,46</w:t>
            </w:r>
          </w:p>
        </w:tc>
      </w:tr>
      <w:tr w:rsidR="0045285D">
        <w:trPr>
          <w:trHeight w:val="400"/>
        </w:trPr>
        <w:tc>
          <w:tcPr>
            <w:tcW w:w="3552" w:type="dxa"/>
          </w:tcPr>
          <w:p w:rsidR="0045285D" w:rsidRDefault="00BA7515">
            <w:pPr>
              <w:spacing w:line="360" w:lineRule="auto"/>
              <w:jc w:val="center"/>
              <w:rPr>
                <w:rFonts w:ascii="Arial" w:eastAsia="Arial" w:hAnsi="Arial" w:cs="Arial"/>
              </w:rPr>
            </w:pPr>
            <w:r>
              <w:rPr>
                <w:rFonts w:ascii="Arial" w:eastAsia="Arial" w:hAnsi="Arial" w:cs="Arial"/>
              </w:rPr>
              <w:t>Massa muscular (kg)</w:t>
            </w:r>
          </w:p>
        </w:tc>
        <w:tc>
          <w:tcPr>
            <w:tcW w:w="2321" w:type="dxa"/>
          </w:tcPr>
          <w:p w:rsidR="0045285D" w:rsidRDefault="00BA7515">
            <w:pPr>
              <w:spacing w:line="360" w:lineRule="auto"/>
              <w:jc w:val="center"/>
              <w:rPr>
                <w:rFonts w:ascii="Arial" w:eastAsia="Arial" w:hAnsi="Arial" w:cs="Arial"/>
              </w:rPr>
            </w:pPr>
            <w:r>
              <w:rPr>
                <w:rFonts w:ascii="Arial" w:eastAsia="Arial" w:hAnsi="Arial" w:cs="Arial"/>
              </w:rPr>
              <w:t>22,7 ±2,81</w:t>
            </w:r>
          </w:p>
        </w:tc>
        <w:tc>
          <w:tcPr>
            <w:tcW w:w="3058" w:type="dxa"/>
          </w:tcPr>
          <w:p w:rsidR="0045285D" w:rsidRDefault="00BA7515">
            <w:pPr>
              <w:spacing w:line="360" w:lineRule="auto"/>
              <w:jc w:val="center"/>
              <w:rPr>
                <w:rFonts w:ascii="Arial" w:eastAsia="Arial" w:hAnsi="Arial" w:cs="Arial"/>
              </w:rPr>
            </w:pPr>
            <w:r>
              <w:rPr>
                <w:rFonts w:ascii="Arial" w:eastAsia="Arial" w:hAnsi="Arial" w:cs="Arial"/>
              </w:rPr>
              <w:t>22,57 ±2,98</w:t>
            </w:r>
          </w:p>
        </w:tc>
      </w:tr>
      <w:tr w:rsidR="0045285D">
        <w:trPr>
          <w:trHeight w:val="440"/>
        </w:trPr>
        <w:tc>
          <w:tcPr>
            <w:tcW w:w="3552" w:type="dxa"/>
          </w:tcPr>
          <w:p w:rsidR="0045285D" w:rsidRDefault="00BA7515">
            <w:pPr>
              <w:spacing w:line="360" w:lineRule="auto"/>
              <w:jc w:val="center"/>
              <w:rPr>
                <w:rFonts w:ascii="Arial" w:eastAsia="Arial" w:hAnsi="Arial" w:cs="Arial"/>
              </w:rPr>
            </w:pPr>
            <w:r>
              <w:rPr>
                <w:rFonts w:ascii="Arial" w:eastAsia="Arial" w:hAnsi="Arial" w:cs="Arial"/>
              </w:rPr>
              <w:t>Taxa metabólica basal (kcal)</w:t>
            </w:r>
          </w:p>
        </w:tc>
        <w:tc>
          <w:tcPr>
            <w:tcW w:w="2321" w:type="dxa"/>
          </w:tcPr>
          <w:p w:rsidR="0045285D" w:rsidRDefault="00BA7515">
            <w:pPr>
              <w:spacing w:line="360" w:lineRule="auto"/>
              <w:jc w:val="center"/>
              <w:rPr>
                <w:rFonts w:ascii="Arial" w:eastAsia="Arial" w:hAnsi="Arial" w:cs="Arial"/>
              </w:rPr>
            </w:pPr>
            <w:r>
              <w:rPr>
                <w:rFonts w:ascii="Arial" w:eastAsia="Arial" w:hAnsi="Arial" w:cs="Arial"/>
              </w:rPr>
              <w:t>1122,62 ±415,49</w:t>
            </w:r>
          </w:p>
        </w:tc>
        <w:tc>
          <w:tcPr>
            <w:tcW w:w="3058" w:type="dxa"/>
          </w:tcPr>
          <w:p w:rsidR="0045285D" w:rsidRDefault="00BA7515">
            <w:pPr>
              <w:spacing w:line="360" w:lineRule="auto"/>
              <w:jc w:val="center"/>
              <w:rPr>
                <w:rFonts w:ascii="Arial" w:eastAsia="Arial" w:hAnsi="Arial" w:cs="Arial"/>
              </w:rPr>
            </w:pPr>
            <w:r>
              <w:rPr>
                <w:rFonts w:ascii="Arial" w:eastAsia="Arial" w:hAnsi="Arial" w:cs="Arial"/>
              </w:rPr>
              <w:t>1259,25 ±107,59</w:t>
            </w:r>
          </w:p>
        </w:tc>
      </w:tr>
      <w:tr w:rsidR="0045285D">
        <w:trPr>
          <w:trHeight w:val="440"/>
        </w:trPr>
        <w:tc>
          <w:tcPr>
            <w:tcW w:w="3552"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Água corporal (L)</w:t>
            </w:r>
          </w:p>
        </w:tc>
        <w:tc>
          <w:tcPr>
            <w:tcW w:w="2321"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30,33±3,44</w:t>
            </w:r>
          </w:p>
        </w:tc>
        <w:tc>
          <w:tcPr>
            <w:tcW w:w="3058"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30,14±3,6</w:t>
            </w:r>
          </w:p>
        </w:tc>
      </w:tr>
    </w:tbl>
    <w:p w:rsidR="0045285D" w:rsidRDefault="0045285D">
      <w:pPr>
        <w:ind w:firstLine="720"/>
        <w:rPr>
          <w:rFonts w:ascii="Arial" w:eastAsia="Arial" w:hAnsi="Arial" w:cs="Arial"/>
          <w:sz w:val="24"/>
          <w:szCs w:val="24"/>
          <w:shd w:val="clear" w:color="auto" w:fill="CCCCCC"/>
        </w:rPr>
      </w:pPr>
    </w:p>
    <w:p w:rsidR="0045285D" w:rsidRDefault="00BA7515">
      <w:pPr>
        <w:spacing w:line="360" w:lineRule="auto"/>
        <w:ind w:firstLine="720"/>
        <w:jc w:val="both"/>
        <w:rPr>
          <w:rFonts w:ascii="Arial" w:eastAsia="Arial" w:hAnsi="Arial" w:cs="Arial"/>
          <w:sz w:val="24"/>
          <w:szCs w:val="24"/>
          <w:highlight w:val="yellow"/>
        </w:rPr>
      </w:pPr>
      <w:r>
        <w:rPr>
          <w:rFonts w:ascii="Arial" w:eastAsia="Arial" w:hAnsi="Arial" w:cs="Arial"/>
          <w:sz w:val="24"/>
          <w:szCs w:val="24"/>
        </w:rPr>
        <w:t xml:space="preserve">Assim como no estudo de </w:t>
      </w:r>
      <w:proofErr w:type="spellStart"/>
      <w:r>
        <w:rPr>
          <w:rFonts w:ascii="Arial" w:eastAsia="Arial" w:hAnsi="Arial" w:cs="Arial"/>
          <w:sz w:val="24"/>
          <w:szCs w:val="24"/>
        </w:rPr>
        <w:t>Rogerson</w:t>
      </w:r>
      <w:proofErr w:type="spellEnd"/>
      <w:r>
        <w:rPr>
          <w:rFonts w:ascii="Arial" w:eastAsia="Arial" w:hAnsi="Arial" w:cs="Arial"/>
          <w:sz w:val="24"/>
          <w:szCs w:val="24"/>
        </w:rPr>
        <w:t xml:space="preserve"> et al. (2007) realizado em jogadores de </w:t>
      </w:r>
      <w:proofErr w:type="spellStart"/>
      <w:r>
        <w:rPr>
          <w:rFonts w:ascii="Arial" w:eastAsia="Arial" w:hAnsi="Arial" w:cs="Arial"/>
          <w:sz w:val="24"/>
          <w:szCs w:val="24"/>
        </w:rPr>
        <w:t>rugby</w:t>
      </w:r>
      <w:proofErr w:type="spellEnd"/>
      <w:r>
        <w:rPr>
          <w:rFonts w:ascii="Arial" w:eastAsia="Arial" w:hAnsi="Arial" w:cs="Arial"/>
          <w:sz w:val="24"/>
          <w:szCs w:val="24"/>
        </w:rPr>
        <w:t xml:space="preserve">, não foram observadas alterações estatisticamente significativas na massa corporal. O estudo de </w:t>
      </w:r>
      <w:proofErr w:type="spellStart"/>
      <w:r>
        <w:rPr>
          <w:rFonts w:ascii="Arial" w:eastAsia="Arial" w:hAnsi="Arial" w:cs="Arial"/>
          <w:sz w:val="24"/>
          <w:szCs w:val="24"/>
        </w:rPr>
        <w:t>Antonio</w:t>
      </w:r>
      <w:proofErr w:type="spellEnd"/>
      <w:r>
        <w:rPr>
          <w:rFonts w:ascii="Arial" w:eastAsia="Arial" w:hAnsi="Arial" w:cs="Arial"/>
          <w:sz w:val="24"/>
          <w:szCs w:val="24"/>
        </w:rPr>
        <w:t xml:space="preserve"> et al. (2000) realizado em homens que realizam treinamento de resistência também não encontrou diferenças no percentual de gordura corporal e quantidade de massa muscular, sugerindo que a ingestão calórica e de proteínas dos sujeitos em seu estudo foram insuficientes para promover essas mudanças. Dessa forma, a suplementação com TT parece não ser efetiva, pelo menos em homens, para mudanças na composição corporal.</w:t>
      </w:r>
    </w:p>
    <w:p w:rsidR="0045285D" w:rsidRDefault="00BA7515">
      <w:pPr>
        <w:spacing w:line="360" w:lineRule="auto"/>
        <w:jc w:val="both"/>
        <w:rPr>
          <w:rFonts w:ascii="Arial" w:eastAsia="Arial" w:hAnsi="Arial" w:cs="Arial"/>
          <w:sz w:val="24"/>
          <w:szCs w:val="24"/>
          <w:highlight w:val="yellow"/>
        </w:rPr>
      </w:pPr>
      <w:r>
        <w:rPr>
          <w:rFonts w:ascii="Arial" w:eastAsia="Arial" w:hAnsi="Arial" w:cs="Arial"/>
          <w:sz w:val="24"/>
          <w:szCs w:val="24"/>
        </w:rPr>
        <w:tab/>
        <w:t xml:space="preserve">A utilização da bioimpedância para avaliação da composição corporal tem se tornado cada vez mais comum embora existam algumas controvérsias sobre seu uso, principalmente onde pode haver alteração no estado de hidratação do indivíduo (BARBOSA-SILVA et al., 2005; REZENDE et al., 2007). </w:t>
      </w:r>
      <w:r>
        <w:rPr>
          <w:rFonts w:ascii="Arial" w:eastAsia="Arial" w:hAnsi="Arial" w:cs="Arial"/>
          <w:sz w:val="24"/>
          <w:szCs w:val="24"/>
          <w:highlight w:val="white"/>
        </w:rPr>
        <w:t xml:space="preserve">Assim, se um indivíduo apresentar hiper-hidratação, o valor da massa magra será superestimado, por ser através da quantidade de água corporal total que se obtém a massa corporal magra.  Dessa forma, pode-se afirmar que ainda pairam dúvidas quanto à precisão e à confiabilidade da técnica da bioimpedância quando comparada com outros recursos (RODRIGUES et al., 2001; </w:t>
      </w:r>
      <w:r>
        <w:rPr>
          <w:rFonts w:ascii="Arial" w:eastAsia="Arial" w:hAnsi="Arial" w:cs="Arial"/>
          <w:sz w:val="24"/>
          <w:szCs w:val="24"/>
        </w:rPr>
        <w:t>REZENDE et al., 2007)</w:t>
      </w:r>
      <w:r>
        <w:rPr>
          <w:rFonts w:ascii="Arial" w:eastAsia="Arial" w:hAnsi="Arial" w:cs="Arial"/>
          <w:sz w:val="24"/>
          <w:szCs w:val="24"/>
          <w:highlight w:val="white"/>
        </w:rPr>
        <w:t>.</w:t>
      </w:r>
    </w:p>
    <w:p w:rsidR="0045285D" w:rsidRDefault="00BA7515">
      <w:pPr>
        <w:spacing w:line="360" w:lineRule="auto"/>
        <w:ind w:firstLine="720"/>
        <w:jc w:val="both"/>
        <w:rPr>
          <w:rFonts w:ascii="Arial" w:eastAsia="Arial" w:hAnsi="Arial" w:cs="Arial"/>
          <w:sz w:val="24"/>
          <w:szCs w:val="24"/>
          <w:highlight w:val="yellow"/>
        </w:rPr>
      </w:pPr>
      <w:r>
        <w:rPr>
          <w:rFonts w:ascii="Arial" w:eastAsia="Arial" w:hAnsi="Arial" w:cs="Arial"/>
          <w:sz w:val="24"/>
          <w:szCs w:val="24"/>
          <w:highlight w:val="white"/>
        </w:rPr>
        <w:t>Além disso, seu resultado pode ser afetado por diversas condições, por isso o controle prévio de alguns fatores deve ser realizado para a confiabilidade do método</w:t>
      </w:r>
      <w:r w:rsidR="00EC5A9F">
        <w:rPr>
          <w:rFonts w:ascii="Arial" w:eastAsia="Arial" w:hAnsi="Arial" w:cs="Arial"/>
          <w:sz w:val="24"/>
          <w:szCs w:val="24"/>
          <w:highlight w:val="white"/>
          <w:vertAlign w:val="superscript"/>
        </w:rPr>
        <w:t xml:space="preserve">. </w:t>
      </w:r>
      <w:r>
        <w:rPr>
          <w:rFonts w:ascii="Arial" w:eastAsia="Arial" w:hAnsi="Arial" w:cs="Arial"/>
          <w:sz w:val="24"/>
          <w:szCs w:val="24"/>
          <w:highlight w:val="white"/>
        </w:rPr>
        <w:lastRenderedPageBreak/>
        <w:t>São eles: calibração do aparelho, posição do indivíduo avaliado, jejum de 4 horas, abstinência alcoólica de 8 horas, abstinência de atividade física e sauna por 8 horas, esvaziamento da bexiga antes da realização do exame, observância do ciclo menstrual (JABASSI et al., 2010).</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Dessa forma, os resultados do presente estudo podem não ter mostrado alterações significativas por conta das informações apresentadas acima. Com a intenção de obter um resultado mais preciso, além da bioimpedância também foram aferidas as dobras cutâneas para cálculo do percentual de gordura seguindo o protocolo de 3 dobras para mulheres de Jackson e Pollock (1980). Essas informações podem ser encontradas na Tabela 3.</w:t>
      </w:r>
    </w:p>
    <w:p w:rsidR="0045285D" w:rsidRDefault="00BA7515">
      <w:pPr>
        <w:spacing w:line="360" w:lineRule="auto"/>
        <w:rPr>
          <w:rFonts w:ascii="Arial" w:eastAsia="Arial" w:hAnsi="Arial" w:cs="Arial"/>
          <w:sz w:val="24"/>
          <w:szCs w:val="24"/>
        </w:rPr>
      </w:pPr>
      <w:r>
        <w:rPr>
          <w:rFonts w:ascii="Arial" w:eastAsia="Arial" w:hAnsi="Arial" w:cs="Arial"/>
          <w:color w:val="000000"/>
          <w:sz w:val="24"/>
          <w:szCs w:val="24"/>
        </w:rPr>
        <w:t xml:space="preserve">Tabela 3 – Média e desvio padrão das dobras cutâneas e do percentual de gordura avaliados com o </w:t>
      </w:r>
      <w:proofErr w:type="spellStart"/>
      <w:r>
        <w:rPr>
          <w:rFonts w:ascii="Arial" w:eastAsia="Arial" w:hAnsi="Arial" w:cs="Arial"/>
          <w:color w:val="000000"/>
          <w:sz w:val="24"/>
          <w:szCs w:val="24"/>
        </w:rPr>
        <w:t>adipômetro</w:t>
      </w:r>
      <w:proofErr w:type="spellEnd"/>
      <w:r>
        <w:rPr>
          <w:rFonts w:ascii="Arial" w:eastAsia="Arial" w:hAnsi="Arial" w:cs="Arial"/>
          <w:color w:val="000000"/>
          <w:sz w:val="24"/>
          <w:szCs w:val="24"/>
        </w:rPr>
        <w:t xml:space="preserve">. </w:t>
      </w:r>
      <w:r>
        <w:rPr>
          <w:rFonts w:ascii="Arial" w:eastAsia="Arial" w:hAnsi="Arial" w:cs="Arial"/>
          <w:sz w:val="24"/>
          <w:szCs w:val="24"/>
        </w:rPr>
        <w:t>São Paulo, 2019.</w:t>
      </w:r>
    </w:p>
    <w:tbl>
      <w:tblPr>
        <w:tblStyle w:val="a1"/>
        <w:tblW w:w="892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257"/>
        <w:gridCol w:w="2831"/>
        <w:gridCol w:w="2832"/>
      </w:tblGrid>
      <w:tr w:rsidR="0045285D">
        <w:trPr>
          <w:jc w:val="center"/>
        </w:trPr>
        <w:tc>
          <w:tcPr>
            <w:tcW w:w="3257" w:type="dxa"/>
            <w:vMerge w:val="restart"/>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Variáveis</w:t>
            </w:r>
          </w:p>
        </w:tc>
        <w:tc>
          <w:tcPr>
            <w:tcW w:w="5663" w:type="dxa"/>
            <w:gridSpan w:val="2"/>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Números</w:t>
            </w:r>
          </w:p>
        </w:tc>
      </w:tr>
      <w:tr w:rsidR="0045285D">
        <w:trPr>
          <w:jc w:val="center"/>
        </w:trPr>
        <w:tc>
          <w:tcPr>
            <w:tcW w:w="3257" w:type="dxa"/>
            <w:vMerge/>
            <w:tcBorders>
              <w:top w:val="single" w:sz="4" w:space="0" w:color="000000"/>
            </w:tcBorders>
          </w:tcPr>
          <w:p w:rsidR="0045285D" w:rsidRDefault="0045285D">
            <w:pPr>
              <w:widowControl w:val="0"/>
              <w:pBdr>
                <w:top w:val="nil"/>
                <w:left w:val="nil"/>
                <w:bottom w:val="nil"/>
                <w:right w:val="nil"/>
                <w:between w:val="nil"/>
              </w:pBdr>
              <w:spacing w:line="276" w:lineRule="auto"/>
              <w:rPr>
                <w:rFonts w:ascii="Arial" w:eastAsia="Arial" w:hAnsi="Arial" w:cs="Arial"/>
              </w:rPr>
            </w:pPr>
          </w:p>
        </w:tc>
        <w:tc>
          <w:tcPr>
            <w:tcW w:w="2831" w:type="dxa"/>
            <w:tcBorders>
              <w:bottom w:val="single" w:sz="4" w:space="0" w:color="000000"/>
            </w:tcBorders>
          </w:tcPr>
          <w:p w:rsidR="0045285D" w:rsidRDefault="00BA7515">
            <w:pPr>
              <w:spacing w:line="360" w:lineRule="auto"/>
              <w:jc w:val="center"/>
              <w:rPr>
                <w:rFonts w:ascii="Arial" w:eastAsia="Arial" w:hAnsi="Arial" w:cs="Arial"/>
              </w:rPr>
            </w:pPr>
            <w:proofErr w:type="spellStart"/>
            <w:r>
              <w:rPr>
                <w:rFonts w:ascii="Arial" w:eastAsia="Arial" w:hAnsi="Arial" w:cs="Arial"/>
              </w:rPr>
              <w:t>Pré</w:t>
            </w:r>
            <w:proofErr w:type="spellEnd"/>
          </w:p>
        </w:tc>
        <w:tc>
          <w:tcPr>
            <w:tcW w:w="2832"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Pós</w:t>
            </w:r>
          </w:p>
        </w:tc>
      </w:tr>
      <w:tr w:rsidR="0045285D">
        <w:trPr>
          <w:jc w:val="center"/>
        </w:trPr>
        <w:tc>
          <w:tcPr>
            <w:tcW w:w="3257"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Dobra cutânea tríceps</w:t>
            </w:r>
          </w:p>
        </w:tc>
        <w:tc>
          <w:tcPr>
            <w:tcW w:w="2831"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16,12±1,86</w:t>
            </w:r>
          </w:p>
        </w:tc>
        <w:tc>
          <w:tcPr>
            <w:tcW w:w="2832"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15,67±3,12</w:t>
            </w:r>
          </w:p>
        </w:tc>
      </w:tr>
      <w:tr w:rsidR="0045285D">
        <w:trPr>
          <w:jc w:val="center"/>
        </w:trPr>
        <w:tc>
          <w:tcPr>
            <w:tcW w:w="3257" w:type="dxa"/>
          </w:tcPr>
          <w:p w:rsidR="0045285D" w:rsidRDefault="00BA7515">
            <w:pPr>
              <w:spacing w:line="360" w:lineRule="auto"/>
              <w:jc w:val="center"/>
              <w:rPr>
                <w:rFonts w:ascii="Arial" w:eastAsia="Arial" w:hAnsi="Arial" w:cs="Arial"/>
              </w:rPr>
            </w:pPr>
            <w:r>
              <w:rPr>
                <w:rFonts w:ascii="Arial" w:eastAsia="Arial" w:hAnsi="Arial" w:cs="Arial"/>
              </w:rPr>
              <w:t>Dobra cutânea coxa</w:t>
            </w:r>
          </w:p>
        </w:tc>
        <w:tc>
          <w:tcPr>
            <w:tcW w:w="2831" w:type="dxa"/>
          </w:tcPr>
          <w:p w:rsidR="0045285D" w:rsidRDefault="00BA7515">
            <w:pPr>
              <w:spacing w:line="360" w:lineRule="auto"/>
              <w:jc w:val="center"/>
              <w:rPr>
                <w:rFonts w:ascii="Arial" w:eastAsia="Arial" w:hAnsi="Arial" w:cs="Arial"/>
              </w:rPr>
            </w:pPr>
            <w:r>
              <w:rPr>
                <w:rFonts w:ascii="Arial" w:eastAsia="Arial" w:hAnsi="Arial" w:cs="Arial"/>
              </w:rPr>
              <w:t>25,13±4,30</w:t>
            </w:r>
          </w:p>
        </w:tc>
        <w:tc>
          <w:tcPr>
            <w:tcW w:w="2832" w:type="dxa"/>
          </w:tcPr>
          <w:p w:rsidR="0045285D" w:rsidRDefault="00BA7515">
            <w:pPr>
              <w:spacing w:line="360" w:lineRule="auto"/>
              <w:jc w:val="center"/>
              <w:rPr>
                <w:rFonts w:ascii="Arial" w:eastAsia="Arial" w:hAnsi="Arial" w:cs="Arial"/>
              </w:rPr>
            </w:pPr>
            <w:r>
              <w:rPr>
                <w:rFonts w:ascii="Arial" w:eastAsia="Arial" w:hAnsi="Arial" w:cs="Arial"/>
              </w:rPr>
              <w:t>22,25±3,04*</w:t>
            </w:r>
          </w:p>
        </w:tc>
      </w:tr>
      <w:tr w:rsidR="0045285D">
        <w:trPr>
          <w:jc w:val="center"/>
        </w:trPr>
        <w:tc>
          <w:tcPr>
            <w:tcW w:w="3257" w:type="dxa"/>
          </w:tcPr>
          <w:p w:rsidR="0045285D" w:rsidRDefault="00BA7515">
            <w:pPr>
              <w:spacing w:line="360" w:lineRule="auto"/>
              <w:jc w:val="center"/>
              <w:rPr>
                <w:rFonts w:ascii="Arial" w:eastAsia="Arial" w:hAnsi="Arial" w:cs="Arial"/>
              </w:rPr>
            </w:pPr>
            <w:r>
              <w:rPr>
                <w:rFonts w:ascii="Arial" w:eastAsia="Arial" w:hAnsi="Arial" w:cs="Arial"/>
              </w:rPr>
              <w:t>Dobra cutânea supra ilíaca</w:t>
            </w:r>
          </w:p>
        </w:tc>
        <w:tc>
          <w:tcPr>
            <w:tcW w:w="2831" w:type="dxa"/>
          </w:tcPr>
          <w:p w:rsidR="0045285D" w:rsidRDefault="00BA7515">
            <w:pPr>
              <w:spacing w:line="360" w:lineRule="auto"/>
              <w:jc w:val="center"/>
              <w:rPr>
                <w:rFonts w:ascii="Arial" w:eastAsia="Arial" w:hAnsi="Arial" w:cs="Arial"/>
              </w:rPr>
            </w:pPr>
            <w:r>
              <w:rPr>
                <w:rFonts w:ascii="Arial" w:eastAsia="Arial" w:hAnsi="Arial" w:cs="Arial"/>
              </w:rPr>
              <w:t>12,38±4,20</w:t>
            </w:r>
          </w:p>
        </w:tc>
        <w:tc>
          <w:tcPr>
            <w:tcW w:w="2832" w:type="dxa"/>
          </w:tcPr>
          <w:p w:rsidR="0045285D" w:rsidRDefault="00BA7515">
            <w:pPr>
              <w:spacing w:line="360" w:lineRule="auto"/>
              <w:jc w:val="center"/>
              <w:rPr>
                <w:rFonts w:ascii="Arial" w:eastAsia="Arial" w:hAnsi="Arial" w:cs="Arial"/>
              </w:rPr>
            </w:pPr>
            <w:r>
              <w:rPr>
                <w:rFonts w:ascii="Arial" w:eastAsia="Arial" w:hAnsi="Arial" w:cs="Arial"/>
              </w:rPr>
              <w:t>11,85±4,36</w:t>
            </w:r>
          </w:p>
        </w:tc>
      </w:tr>
      <w:tr w:rsidR="0045285D">
        <w:trPr>
          <w:jc w:val="center"/>
        </w:trPr>
        <w:tc>
          <w:tcPr>
            <w:tcW w:w="3257"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 Gordura corporal</w:t>
            </w:r>
          </w:p>
        </w:tc>
        <w:tc>
          <w:tcPr>
            <w:tcW w:w="2831"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21,43±1,94</w:t>
            </w:r>
          </w:p>
        </w:tc>
        <w:tc>
          <w:tcPr>
            <w:tcW w:w="2832"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18,99±2,30*</w:t>
            </w:r>
          </w:p>
        </w:tc>
      </w:tr>
    </w:tbl>
    <w:p w:rsidR="0045285D" w:rsidRDefault="00BA7515">
      <w:pPr>
        <w:spacing w:line="360" w:lineRule="auto"/>
        <w:rPr>
          <w:rFonts w:ascii="Arial" w:eastAsia="Arial" w:hAnsi="Arial" w:cs="Arial"/>
          <w:sz w:val="24"/>
          <w:szCs w:val="24"/>
        </w:rPr>
      </w:pPr>
      <w:r>
        <w:rPr>
          <w:rFonts w:ascii="Arial" w:eastAsia="Arial" w:hAnsi="Arial" w:cs="Arial"/>
          <w:sz w:val="24"/>
          <w:szCs w:val="24"/>
        </w:rPr>
        <w:t xml:space="preserve">*p&lt;0,05 em comparação ao </w:t>
      </w:r>
      <w:proofErr w:type="spellStart"/>
      <w:r>
        <w:rPr>
          <w:rFonts w:ascii="Arial" w:eastAsia="Arial" w:hAnsi="Arial" w:cs="Arial"/>
          <w:sz w:val="24"/>
          <w:szCs w:val="24"/>
        </w:rPr>
        <w:t>Pré</w:t>
      </w:r>
      <w:proofErr w:type="spellEnd"/>
      <w:r>
        <w:rPr>
          <w:rFonts w:ascii="Arial" w:eastAsia="Arial" w:hAnsi="Arial" w:cs="Arial"/>
          <w:sz w:val="24"/>
          <w:szCs w:val="24"/>
        </w:rPr>
        <w:t>.</w:t>
      </w:r>
    </w:p>
    <w:p w:rsidR="0045285D" w:rsidRDefault="00BA7515">
      <w:pPr>
        <w:spacing w:line="360" w:lineRule="auto"/>
        <w:jc w:val="both"/>
        <w:rPr>
          <w:rFonts w:ascii="Arial" w:eastAsia="Arial" w:hAnsi="Arial" w:cs="Arial"/>
          <w:sz w:val="24"/>
          <w:szCs w:val="24"/>
          <w:highlight w:val="yellow"/>
        </w:rPr>
      </w:pPr>
      <w:r>
        <w:rPr>
          <w:rFonts w:ascii="Arial" w:eastAsia="Arial" w:hAnsi="Arial" w:cs="Arial"/>
          <w:sz w:val="24"/>
          <w:szCs w:val="24"/>
        </w:rPr>
        <w:tab/>
        <w:t xml:space="preserve">Diferente dos resultados encontrados pela bioimpedância em relação a gordura corporal, houve uma diminuição em todos os valores aferidos através do </w:t>
      </w:r>
      <w:proofErr w:type="spellStart"/>
      <w:r>
        <w:rPr>
          <w:rFonts w:ascii="Arial" w:eastAsia="Arial" w:hAnsi="Arial" w:cs="Arial"/>
          <w:sz w:val="24"/>
          <w:szCs w:val="24"/>
        </w:rPr>
        <w:t>adipômetro</w:t>
      </w:r>
      <w:proofErr w:type="spellEnd"/>
      <w:r>
        <w:rPr>
          <w:rFonts w:ascii="Arial" w:eastAsia="Arial" w:hAnsi="Arial" w:cs="Arial"/>
          <w:sz w:val="24"/>
          <w:szCs w:val="24"/>
        </w:rPr>
        <w:t>, sendo que a dobra cutânea da coxa e o percentual de gordura corporal total tiveram uma diferença significativa (p&lt;0,05).</w:t>
      </w:r>
    </w:p>
    <w:p w:rsidR="0045285D" w:rsidRDefault="00BA7515">
      <w:pPr>
        <w:spacing w:line="360" w:lineRule="auto"/>
        <w:ind w:firstLine="720"/>
        <w:jc w:val="both"/>
        <w:rPr>
          <w:rFonts w:ascii="Arial" w:eastAsia="Arial" w:hAnsi="Arial" w:cs="Arial"/>
          <w:sz w:val="24"/>
          <w:szCs w:val="24"/>
        </w:rPr>
      </w:pPr>
      <w:r>
        <w:rPr>
          <w:rFonts w:ascii="Arial" w:eastAsia="Arial" w:hAnsi="Arial" w:cs="Arial"/>
          <w:sz w:val="24"/>
          <w:szCs w:val="24"/>
        </w:rPr>
        <w:t>Embora não existam dados na literatura que apoiem essa ideia, uma possível especulação que poderia explicar essa diminuição significativa na dobra cutânea da coxa, seria que por todas as participantes do estudo serem do sexo feminino, é comum que se dediquem mais aos treinos de membros inferiores, o que pode ter ocorrido no período do estudo e influenciado em uma perda de gordura maior nas coxas, refletindo na diminuição do percentual gordura corporal.</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É comprovado que o treinamento de força apresenta um papel importante na busca pela redução do peso corporal, uma vez que promove a manutenção e o </w:t>
      </w:r>
      <w:r>
        <w:rPr>
          <w:rFonts w:ascii="Arial" w:eastAsia="Arial" w:hAnsi="Arial" w:cs="Arial"/>
          <w:sz w:val="24"/>
          <w:szCs w:val="24"/>
        </w:rPr>
        <w:lastRenderedPageBreak/>
        <w:t xml:space="preserve">aumento da massa corporal magra, aumentando o gasto energético em repouso (ARRUDA et al., 2010).   </w:t>
      </w:r>
    </w:p>
    <w:p w:rsidR="0045285D" w:rsidRDefault="00BA7515">
      <w:pPr>
        <w:spacing w:after="0" w:line="360" w:lineRule="auto"/>
        <w:jc w:val="both"/>
        <w:rPr>
          <w:rFonts w:ascii="Arial" w:eastAsia="Arial" w:hAnsi="Arial" w:cs="Arial"/>
          <w:sz w:val="24"/>
          <w:szCs w:val="24"/>
          <w:highlight w:val="yellow"/>
        </w:rPr>
      </w:pPr>
      <w:r>
        <w:rPr>
          <w:rFonts w:ascii="Arial" w:eastAsia="Arial" w:hAnsi="Arial" w:cs="Arial"/>
          <w:sz w:val="24"/>
          <w:szCs w:val="24"/>
        </w:rPr>
        <w:tab/>
        <w:t xml:space="preserve">O estudo de Souza (2007) realizado com 14 mulheres jovens submetidas a um protocolo de treinamento de resistência muscular </w:t>
      </w:r>
      <w:r w:rsidR="00EC5A9F">
        <w:rPr>
          <w:rFonts w:ascii="Arial" w:eastAsia="Arial" w:hAnsi="Arial" w:cs="Arial"/>
          <w:sz w:val="24"/>
          <w:szCs w:val="24"/>
        </w:rPr>
        <w:t>localizada, encontrou</w:t>
      </w:r>
      <w:r>
        <w:rPr>
          <w:rFonts w:ascii="Arial" w:eastAsia="Arial" w:hAnsi="Arial" w:cs="Arial"/>
          <w:sz w:val="24"/>
          <w:szCs w:val="24"/>
        </w:rPr>
        <w:t xml:space="preserve"> uma significante redução do percentual de gordura e um aumento da massa magra das voluntárias.</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Além disso, o protocolo de Jackson e Pollock (1980) de 3 dobras cutâneas utilizado no presente estudo não é tão específico para mensurar o percentual de gordura total como o de 7 dobras. Dessa forma, para melhor análise de uma possível mudança na composição corporal também foram aferidas as circunferências corporais, descritas na Tabela 4.</w:t>
      </w:r>
    </w:p>
    <w:p w:rsidR="0045285D" w:rsidRDefault="00BA7515">
      <w:pPr>
        <w:spacing w:line="360" w:lineRule="auto"/>
        <w:rPr>
          <w:rFonts w:ascii="Arial" w:eastAsia="Arial" w:hAnsi="Arial" w:cs="Arial"/>
          <w:sz w:val="24"/>
          <w:szCs w:val="24"/>
        </w:rPr>
      </w:pPr>
      <w:r>
        <w:rPr>
          <w:rFonts w:ascii="Arial" w:eastAsia="Arial" w:hAnsi="Arial" w:cs="Arial"/>
          <w:color w:val="000000"/>
          <w:sz w:val="24"/>
          <w:szCs w:val="24"/>
        </w:rPr>
        <w:t xml:space="preserve">Tabela 4 – Média e desvio padrão das circunferências corporais avaliadas. </w:t>
      </w:r>
      <w:r>
        <w:rPr>
          <w:rFonts w:ascii="Arial" w:eastAsia="Arial" w:hAnsi="Arial" w:cs="Arial"/>
          <w:sz w:val="24"/>
          <w:szCs w:val="24"/>
        </w:rPr>
        <w:t>São Paulo, 2019.</w:t>
      </w:r>
      <w:r>
        <w:rPr>
          <w:rFonts w:ascii="Arial" w:eastAsia="Arial" w:hAnsi="Arial" w:cs="Arial"/>
          <w:color w:val="000000"/>
          <w:sz w:val="24"/>
          <w:szCs w:val="24"/>
        </w:rPr>
        <w:t> </w:t>
      </w:r>
    </w:p>
    <w:tbl>
      <w:tblPr>
        <w:tblStyle w:val="a2"/>
        <w:tblW w:w="849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943"/>
        <w:gridCol w:w="2719"/>
        <w:gridCol w:w="2832"/>
      </w:tblGrid>
      <w:tr w:rsidR="0045285D">
        <w:tc>
          <w:tcPr>
            <w:tcW w:w="2943" w:type="dxa"/>
            <w:vMerge w:val="restart"/>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Variáveis</w:t>
            </w:r>
          </w:p>
        </w:tc>
        <w:tc>
          <w:tcPr>
            <w:tcW w:w="5551" w:type="dxa"/>
            <w:gridSpan w:val="2"/>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Números</w:t>
            </w:r>
          </w:p>
        </w:tc>
      </w:tr>
      <w:tr w:rsidR="0045285D">
        <w:tc>
          <w:tcPr>
            <w:tcW w:w="2943" w:type="dxa"/>
            <w:vMerge/>
            <w:tcBorders>
              <w:top w:val="single" w:sz="4" w:space="0" w:color="000000"/>
            </w:tcBorders>
          </w:tcPr>
          <w:p w:rsidR="0045285D" w:rsidRDefault="0045285D">
            <w:pPr>
              <w:widowControl w:val="0"/>
              <w:pBdr>
                <w:top w:val="nil"/>
                <w:left w:val="nil"/>
                <w:bottom w:val="nil"/>
                <w:right w:val="nil"/>
                <w:between w:val="nil"/>
              </w:pBdr>
              <w:spacing w:line="276" w:lineRule="auto"/>
              <w:rPr>
                <w:rFonts w:ascii="Arial" w:eastAsia="Arial" w:hAnsi="Arial" w:cs="Arial"/>
              </w:rPr>
            </w:pPr>
          </w:p>
        </w:tc>
        <w:tc>
          <w:tcPr>
            <w:tcW w:w="2719" w:type="dxa"/>
            <w:tcBorders>
              <w:bottom w:val="single" w:sz="4" w:space="0" w:color="000000"/>
            </w:tcBorders>
          </w:tcPr>
          <w:p w:rsidR="0045285D" w:rsidRDefault="00BA7515">
            <w:pPr>
              <w:spacing w:line="360" w:lineRule="auto"/>
              <w:jc w:val="center"/>
              <w:rPr>
                <w:rFonts w:ascii="Arial" w:eastAsia="Arial" w:hAnsi="Arial" w:cs="Arial"/>
              </w:rPr>
            </w:pPr>
            <w:proofErr w:type="spellStart"/>
            <w:r>
              <w:rPr>
                <w:rFonts w:ascii="Arial" w:eastAsia="Arial" w:hAnsi="Arial" w:cs="Arial"/>
              </w:rPr>
              <w:t>Pré</w:t>
            </w:r>
            <w:proofErr w:type="spellEnd"/>
          </w:p>
        </w:tc>
        <w:tc>
          <w:tcPr>
            <w:tcW w:w="2832"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Pós</w:t>
            </w:r>
          </w:p>
        </w:tc>
      </w:tr>
      <w:tr w:rsidR="0045285D">
        <w:tc>
          <w:tcPr>
            <w:tcW w:w="2943"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Circunferência braço</w:t>
            </w:r>
          </w:p>
        </w:tc>
        <w:tc>
          <w:tcPr>
            <w:tcW w:w="2719"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26,86±1,81</w:t>
            </w:r>
          </w:p>
        </w:tc>
        <w:tc>
          <w:tcPr>
            <w:tcW w:w="2832" w:type="dxa"/>
            <w:tcBorders>
              <w:top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26,69±2,34</w:t>
            </w:r>
          </w:p>
        </w:tc>
      </w:tr>
      <w:tr w:rsidR="0045285D">
        <w:tc>
          <w:tcPr>
            <w:tcW w:w="2943" w:type="dxa"/>
          </w:tcPr>
          <w:p w:rsidR="0045285D" w:rsidRDefault="00BA7515">
            <w:pPr>
              <w:spacing w:line="360" w:lineRule="auto"/>
              <w:jc w:val="center"/>
              <w:rPr>
                <w:rFonts w:ascii="Arial" w:eastAsia="Arial" w:hAnsi="Arial" w:cs="Arial"/>
              </w:rPr>
            </w:pPr>
            <w:r>
              <w:rPr>
                <w:rFonts w:ascii="Arial" w:eastAsia="Arial" w:hAnsi="Arial" w:cs="Arial"/>
              </w:rPr>
              <w:t>Circunferência cintura</w:t>
            </w:r>
          </w:p>
        </w:tc>
        <w:tc>
          <w:tcPr>
            <w:tcW w:w="2719" w:type="dxa"/>
          </w:tcPr>
          <w:p w:rsidR="0045285D" w:rsidRDefault="00BA7515">
            <w:pPr>
              <w:spacing w:line="360" w:lineRule="auto"/>
              <w:jc w:val="center"/>
              <w:rPr>
                <w:rFonts w:ascii="Arial" w:eastAsia="Arial" w:hAnsi="Arial" w:cs="Arial"/>
              </w:rPr>
            </w:pPr>
            <w:r>
              <w:rPr>
                <w:rFonts w:ascii="Arial" w:eastAsia="Arial" w:hAnsi="Arial" w:cs="Arial"/>
              </w:rPr>
              <w:t>67,96±5,30</w:t>
            </w:r>
          </w:p>
        </w:tc>
        <w:tc>
          <w:tcPr>
            <w:tcW w:w="2832" w:type="dxa"/>
          </w:tcPr>
          <w:p w:rsidR="0045285D" w:rsidRDefault="00BA7515">
            <w:pPr>
              <w:spacing w:line="360" w:lineRule="auto"/>
              <w:jc w:val="center"/>
              <w:rPr>
                <w:rFonts w:ascii="Arial" w:eastAsia="Arial" w:hAnsi="Arial" w:cs="Arial"/>
              </w:rPr>
            </w:pPr>
            <w:r>
              <w:rPr>
                <w:rFonts w:ascii="Arial" w:eastAsia="Arial" w:hAnsi="Arial" w:cs="Arial"/>
              </w:rPr>
              <w:t>66,61±4,85*</w:t>
            </w:r>
          </w:p>
        </w:tc>
      </w:tr>
      <w:tr w:rsidR="0045285D">
        <w:tc>
          <w:tcPr>
            <w:tcW w:w="2943" w:type="dxa"/>
          </w:tcPr>
          <w:p w:rsidR="0045285D" w:rsidRDefault="00BA7515">
            <w:pPr>
              <w:spacing w:line="360" w:lineRule="auto"/>
              <w:jc w:val="center"/>
              <w:rPr>
                <w:rFonts w:ascii="Arial" w:eastAsia="Arial" w:hAnsi="Arial" w:cs="Arial"/>
              </w:rPr>
            </w:pPr>
            <w:r>
              <w:rPr>
                <w:rFonts w:ascii="Arial" w:eastAsia="Arial" w:hAnsi="Arial" w:cs="Arial"/>
              </w:rPr>
              <w:t>Circunferência quadril</w:t>
            </w:r>
          </w:p>
        </w:tc>
        <w:tc>
          <w:tcPr>
            <w:tcW w:w="2719" w:type="dxa"/>
          </w:tcPr>
          <w:p w:rsidR="0045285D" w:rsidRDefault="00BA7515">
            <w:pPr>
              <w:spacing w:line="360" w:lineRule="auto"/>
              <w:jc w:val="center"/>
              <w:rPr>
                <w:rFonts w:ascii="Arial" w:eastAsia="Arial" w:hAnsi="Arial" w:cs="Arial"/>
              </w:rPr>
            </w:pPr>
            <w:r>
              <w:rPr>
                <w:rFonts w:ascii="Arial" w:eastAsia="Arial" w:hAnsi="Arial" w:cs="Arial"/>
              </w:rPr>
              <w:t>95,30±3,65</w:t>
            </w:r>
          </w:p>
        </w:tc>
        <w:tc>
          <w:tcPr>
            <w:tcW w:w="2832" w:type="dxa"/>
          </w:tcPr>
          <w:p w:rsidR="0045285D" w:rsidRDefault="00BA7515">
            <w:pPr>
              <w:spacing w:line="360" w:lineRule="auto"/>
              <w:jc w:val="center"/>
              <w:rPr>
                <w:rFonts w:ascii="Arial" w:eastAsia="Arial" w:hAnsi="Arial" w:cs="Arial"/>
              </w:rPr>
            </w:pPr>
            <w:r>
              <w:rPr>
                <w:rFonts w:ascii="Arial" w:eastAsia="Arial" w:hAnsi="Arial" w:cs="Arial"/>
              </w:rPr>
              <w:t>95,00±2,98</w:t>
            </w:r>
          </w:p>
        </w:tc>
      </w:tr>
      <w:tr w:rsidR="0045285D">
        <w:tc>
          <w:tcPr>
            <w:tcW w:w="2943" w:type="dxa"/>
          </w:tcPr>
          <w:p w:rsidR="0045285D" w:rsidRDefault="00BA7515">
            <w:pPr>
              <w:spacing w:line="360" w:lineRule="auto"/>
              <w:jc w:val="center"/>
              <w:rPr>
                <w:rFonts w:ascii="Arial" w:eastAsia="Arial" w:hAnsi="Arial" w:cs="Arial"/>
              </w:rPr>
            </w:pPr>
            <w:r>
              <w:rPr>
                <w:rFonts w:ascii="Arial" w:eastAsia="Arial" w:hAnsi="Arial" w:cs="Arial"/>
              </w:rPr>
              <w:t>Circunferência coxa</w:t>
            </w:r>
          </w:p>
        </w:tc>
        <w:tc>
          <w:tcPr>
            <w:tcW w:w="2719" w:type="dxa"/>
          </w:tcPr>
          <w:p w:rsidR="0045285D" w:rsidRDefault="00BA7515">
            <w:pPr>
              <w:spacing w:line="360" w:lineRule="auto"/>
              <w:jc w:val="center"/>
              <w:rPr>
                <w:rFonts w:ascii="Arial" w:eastAsia="Arial" w:hAnsi="Arial" w:cs="Arial"/>
              </w:rPr>
            </w:pPr>
            <w:r>
              <w:rPr>
                <w:rFonts w:ascii="Arial" w:eastAsia="Arial" w:hAnsi="Arial" w:cs="Arial"/>
              </w:rPr>
              <w:t>56,74±1,55</w:t>
            </w:r>
          </w:p>
        </w:tc>
        <w:tc>
          <w:tcPr>
            <w:tcW w:w="2832" w:type="dxa"/>
          </w:tcPr>
          <w:p w:rsidR="0045285D" w:rsidRDefault="00BA7515">
            <w:pPr>
              <w:spacing w:line="360" w:lineRule="auto"/>
              <w:jc w:val="center"/>
              <w:rPr>
                <w:rFonts w:ascii="Arial" w:eastAsia="Arial" w:hAnsi="Arial" w:cs="Arial"/>
              </w:rPr>
            </w:pPr>
            <w:r>
              <w:rPr>
                <w:rFonts w:ascii="Arial" w:eastAsia="Arial" w:hAnsi="Arial" w:cs="Arial"/>
              </w:rPr>
              <w:t>56,43±2,37</w:t>
            </w:r>
          </w:p>
        </w:tc>
      </w:tr>
      <w:tr w:rsidR="0045285D">
        <w:tc>
          <w:tcPr>
            <w:tcW w:w="2943"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Circunferência panturrilha</w:t>
            </w:r>
          </w:p>
        </w:tc>
        <w:tc>
          <w:tcPr>
            <w:tcW w:w="2719"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34,28±1,40</w:t>
            </w:r>
          </w:p>
        </w:tc>
        <w:tc>
          <w:tcPr>
            <w:tcW w:w="2832" w:type="dxa"/>
            <w:tcBorders>
              <w:bottom w:val="single" w:sz="4" w:space="0" w:color="000000"/>
            </w:tcBorders>
          </w:tcPr>
          <w:p w:rsidR="0045285D" w:rsidRDefault="00BA7515">
            <w:pPr>
              <w:spacing w:line="360" w:lineRule="auto"/>
              <w:jc w:val="center"/>
              <w:rPr>
                <w:rFonts w:ascii="Arial" w:eastAsia="Arial" w:hAnsi="Arial" w:cs="Arial"/>
              </w:rPr>
            </w:pPr>
            <w:r>
              <w:rPr>
                <w:rFonts w:ascii="Arial" w:eastAsia="Arial" w:hAnsi="Arial" w:cs="Arial"/>
              </w:rPr>
              <w:t>33,40±2,14*</w:t>
            </w:r>
          </w:p>
        </w:tc>
      </w:tr>
    </w:tbl>
    <w:p w:rsidR="0045285D" w:rsidRDefault="00BA7515">
      <w:pPr>
        <w:spacing w:line="360" w:lineRule="auto"/>
        <w:rPr>
          <w:rFonts w:ascii="Arial" w:eastAsia="Arial" w:hAnsi="Arial" w:cs="Arial"/>
          <w:sz w:val="24"/>
          <w:szCs w:val="24"/>
        </w:rPr>
      </w:pPr>
      <w:r>
        <w:rPr>
          <w:rFonts w:ascii="Arial" w:eastAsia="Arial" w:hAnsi="Arial" w:cs="Arial"/>
          <w:sz w:val="24"/>
          <w:szCs w:val="24"/>
        </w:rPr>
        <w:t xml:space="preserve">*p&lt;0,05 em comparação ao </w:t>
      </w:r>
      <w:proofErr w:type="spellStart"/>
      <w:r>
        <w:rPr>
          <w:rFonts w:ascii="Arial" w:eastAsia="Arial" w:hAnsi="Arial" w:cs="Arial"/>
          <w:sz w:val="24"/>
          <w:szCs w:val="24"/>
        </w:rPr>
        <w:t>Pré</w:t>
      </w:r>
      <w:proofErr w:type="spellEnd"/>
      <w:r>
        <w:rPr>
          <w:rFonts w:ascii="Arial" w:eastAsia="Arial" w:hAnsi="Arial" w:cs="Arial"/>
          <w:sz w:val="24"/>
          <w:szCs w:val="24"/>
        </w:rPr>
        <w:t>.</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Todas as circunferências aferidas diminuíram quando comparados os períodos </w:t>
      </w:r>
      <w:proofErr w:type="spellStart"/>
      <w:r>
        <w:rPr>
          <w:rFonts w:ascii="Arial" w:eastAsia="Arial" w:hAnsi="Arial" w:cs="Arial"/>
          <w:sz w:val="24"/>
          <w:szCs w:val="24"/>
        </w:rPr>
        <w:t>pré</w:t>
      </w:r>
      <w:proofErr w:type="spellEnd"/>
      <w:r>
        <w:rPr>
          <w:rFonts w:ascii="Arial" w:eastAsia="Arial" w:hAnsi="Arial" w:cs="Arial"/>
          <w:sz w:val="24"/>
          <w:szCs w:val="24"/>
        </w:rPr>
        <w:t xml:space="preserve"> e pós suplementação, porém apenas as circunferências da cintura e da panturrilha tiveram diferença significativa (p&lt;0,05).</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Resultado semelhante foi encontrado no estudo de Brown et al. (2000) no qual as circunferências da cintura e do quadril também diminuíram, além do percentual de gordura corporal. Porém essa diminuição ocorreu tanto no grupo placebo quanto no grupo suplementado, o que fez levou à conclusão de que o programa de treinamento de resistência aplicado durante o período desse estudo foi efetivo e proporcionou uma perda de gordura corporal. </w:t>
      </w:r>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lastRenderedPageBreak/>
        <w:tab/>
        <w:t xml:space="preserve">Considerando que o percentual de gordura das participantes do estudo diminuiu de forma significativa quando avaliado através do </w:t>
      </w:r>
      <w:proofErr w:type="spellStart"/>
      <w:r>
        <w:rPr>
          <w:rFonts w:ascii="Arial" w:eastAsia="Arial" w:hAnsi="Arial" w:cs="Arial"/>
          <w:sz w:val="24"/>
          <w:szCs w:val="24"/>
        </w:rPr>
        <w:t>adipômetro</w:t>
      </w:r>
      <w:proofErr w:type="spellEnd"/>
      <w:r>
        <w:rPr>
          <w:rFonts w:ascii="Arial" w:eastAsia="Arial" w:hAnsi="Arial" w:cs="Arial"/>
          <w:sz w:val="24"/>
          <w:szCs w:val="24"/>
        </w:rPr>
        <w:t>, assim como suas circunferências corporais, enquanto o peso se manteve igual, acreditamos que possivelmente houve um ganho de massa magra. Apesar do período do estudo ser curto para que houvesse um ganho significativo de massa magra, vale ressaltar que as participantes já eram treinadas.</w:t>
      </w:r>
    </w:p>
    <w:p w:rsidR="0045285D" w:rsidRDefault="00BA7515">
      <w:pPr>
        <w:spacing w:line="360" w:lineRule="auto"/>
        <w:jc w:val="both"/>
        <w:rPr>
          <w:rFonts w:ascii="Arial" w:eastAsia="Arial" w:hAnsi="Arial" w:cs="Arial"/>
          <w:b/>
          <w:sz w:val="24"/>
          <w:szCs w:val="24"/>
          <w:highlight w:val="yellow"/>
        </w:rPr>
      </w:pPr>
      <w:r>
        <w:rPr>
          <w:rFonts w:ascii="Arial" w:eastAsia="Arial" w:hAnsi="Arial" w:cs="Arial"/>
          <w:sz w:val="24"/>
          <w:szCs w:val="24"/>
        </w:rPr>
        <w:tab/>
        <w:t>Por outro lado, assim como a diminuição no percentual de gordura corporal pode ter sido devido ao protocolo de treinamento, a diminuição das circunferências corporais também pode ter ocorrido por esse motivo.</w:t>
      </w:r>
    </w:p>
    <w:p w:rsidR="0045285D" w:rsidRDefault="00BA7515" w:rsidP="00EC5A9F">
      <w:pPr>
        <w:spacing w:line="360" w:lineRule="auto"/>
        <w:ind w:firstLine="720"/>
        <w:jc w:val="both"/>
        <w:rPr>
          <w:rFonts w:ascii="Arial" w:eastAsia="Arial" w:hAnsi="Arial" w:cs="Arial"/>
          <w:sz w:val="24"/>
          <w:szCs w:val="24"/>
        </w:rPr>
      </w:pPr>
      <w:r>
        <w:rPr>
          <w:rFonts w:ascii="Arial" w:eastAsia="Arial" w:hAnsi="Arial" w:cs="Arial"/>
          <w:sz w:val="24"/>
          <w:szCs w:val="24"/>
        </w:rPr>
        <w:t xml:space="preserve">Dessa forma, para avaliar o desempenho e o ganho de força foram realizados testes de 1RM no </w:t>
      </w:r>
      <w:proofErr w:type="spellStart"/>
      <w:r>
        <w:rPr>
          <w:rFonts w:ascii="Arial" w:eastAsia="Arial" w:hAnsi="Arial" w:cs="Arial"/>
          <w:sz w:val="24"/>
          <w:szCs w:val="24"/>
        </w:rPr>
        <w:t>Leg</w:t>
      </w:r>
      <w:proofErr w:type="spellEnd"/>
      <w:r>
        <w:rPr>
          <w:rFonts w:ascii="Arial" w:eastAsia="Arial" w:hAnsi="Arial" w:cs="Arial"/>
          <w:sz w:val="24"/>
          <w:szCs w:val="24"/>
        </w:rPr>
        <w:t xml:space="preserve"> Press 45 e supino livre, no qual foram encontradas diferenças significativas (p&lt;0,05) (Gráfico 1 e 2). Durante o período do estudo a média de sessões de treino das participantes foi de 23,25±5,99.</w:t>
      </w:r>
    </w:p>
    <w:p w:rsidR="0045285D" w:rsidRDefault="00BA7515">
      <w:pPr>
        <w:spacing w:line="360" w:lineRule="auto"/>
        <w:jc w:val="both"/>
        <w:rPr>
          <w:rFonts w:ascii="Arial" w:eastAsia="Arial" w:hAnsi="Arial" w:cs="Arial"/>
          <w:sz w:val="24"/>
          <w:szCs w:val="24"/>
        </w:rPr>
      </w:pPr>
      <w:bookmarkStart w:id="2" w:name="_heading=h.30j0zll" w:colFirst="0" w:colLast="0"/>
      <w:bookmarkEnd w:id="2"/>
      <w:r w:rsidRPr="000C1180">
        <w:rPr>
          <w:rFonts w:ascii="Arial" w:eastAsia="Arial" w:hAnsi="Arial" w:cs="Arial"/>
          <w:sz w:val="24"/>
          <w:szCs w:val="24"/>
        </w:rPr>
        <w:t xml:space="preserve">Gráfico 1: Valores dos testes de 1 RM do supino dos momentos </w:t>
      </w:r>
      <w:proofErr w:type="spellStart"/>
      <w:r w:rsidRPr="000C1180">
        <w:rPr>
          <w:rFonts w:ascii="Arial" w:eastAsia="Arial" w:hAnsi="Arial" w:cs="Arial"/>
          <w:sz w:val="24"/>
          <w:szCs w:val="24"/>
        </w:rPr>
        <w:t>Pré</w:t>
      </w:r>
      <w:proofErr w:type="spellEnd"/>
      <w:r w:rsidRPr="000C1180">
        <w:rPr>
          <w:rFonts w:ascii="Arial" w:eastAsia="Arial" w:hAnsi="Arial" w:cs="Arial"/>
          <w:sz w:val="24"/>
          <w:szCs w:val="24"/>
        </w:rPr>
        <w:t xml:space="preserve"> e Pós (Kg). São Paulo, 2019.</w:t>
      </w:r>
    </w:p>
    <w:p w:rsidR="000C1180" w:rsidRPr="000C1180" w:rsidRDefault="000C1180">
      <w:pPr>
        <w:spacing w:line="360" w:lineRule="auto"/>
        <w:jc w:val="both"/>
        <w:rPr>
          <w:rFonts w:ascii="Arial" w:eastAsia="Arial" w:hAnsi="Arial" w:cs="Arial"/>
          <w:sz w:val="24"/>
          <w:szCs w:val="24"/>
        </w:rPr>
      </w:pPr>
      <w:r w:rsidRPr="000C1180">
        <w:rPr>
          <w:rFonts w:ascii="Arial" w:eastAsia="Arial" w:hAnsi="Arial" w:cs="Arial"/>
          <w:noProof/>
          <w:sz w:val="24"/>
          <w:szCs w:val="24"/>
        </w:rPr>
        <w:drawing>
          <wp:inline distT="0" distB="0" distL="0" distR="0">
            <wp:extent cx="5000625" cy="3003147"/>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0625" cy="3003147"/>
                    </a:xfrm>
                    <a:prstGeom prst="rect">
                      <a:avLst/>
                    </a:prstGeom>
                    <a:noFill/>
                    <a:ln>
                      <a:noFill/>
                    </a:ln>
                  </pic:spPr>
                </pic:pic>
              </a:graphicData>
            </a:graphic>
          </wp:inline>
        </w:drawing>
      </w:r>
    </w:p>
    <w:p w:rsidR="0045285D" w:rsidRPr="000C1180" w:rsidRDefault="00BA7515">
      <w:pPr>
        <w:spacing w:line="360" w:lineRule="auto"/>
        <w:jc w:val="both"/>
        <w:rPr>
          <w:rFonts w:ascii="Arial" w:eastAsia="Arial" w:hAnsi="Arial" w:cs="Arial"/>
          <w:sz w:val="24"/>
          <w:szCs w:val="24"/>
        </w:rPr>
      </w:pPr>
      <w:r w:rsidRPr="000C1180">
        <w:rPr>
          <w:rFonts w:ascii="Arial" w:eastAsia="Arial" w:hAnsi="Arial" w:cs="Arial"/>
          <w:sz w:val="24"/>
          <w:szCs w:val="24"/>
        </w:rPr>
        <w:t xml:space="preserve">* p&lt;0,05 em comparação ao momento </w:t>
      </w:r>
      <w:proofErr w:type="spellStart"/>
      <w:r w:rsidRPr="000C1180">
        <w:rPr>
          <w:rFonts w:ascii="Arial" w:eastAsia="Arial" w:hAnsi="Arial" w:cs="Arial"/>
          <w:sz w:val="24"/>
          <w:szCs w:val="24"/>
        </w:rPr>
        <w:t>Pré</w:t>
      </w:r>
      <w:proofErr w:type="spellEnd"/>
    </w:p>
    <w:p w:rsidR="0045285D" w:rsidRDefault="00BA7515">
      <w:pPr>
        <w:spacing w:line="360" w:lineRule="auto"/>
        <w:jc w:val="both"/>
        <w:rPr>
          <w:rFonts w:ascii="Arial" w:eastAsia="Arial" w:hAnsi="Arial" w:cs="Arial"/>
          <w:sz w:val="24"/>
          <w:szCs w:val="24"/>
        </w:rPr>
      </w:pPr>
      <w:r w:rsidRPr="000C1180">
        <w:rPr>
          <w:rFonts w:ascii="Arial" w:eastAsia="Arial" w:hAnsi="Arial" w:cs="Arial"/>
          <w:sz w:val="24"/>
          <w:szCs w:val="24"/>
        </w:rPr>
        <w:t xml:space="preserve">Gráfico 2: Valores dos testes de 1 RM do </w:t>
      </w:r>
      <w:proofErr w:type="spellStart"/>
      <w:r w:rsidRPr="000C1180">
        <w:rPr>
          <w:rFonts w:ascii="Arial" w:eastAsia="Arial" w:hAnsi="Arial" w:cs="Arial"/>
          <w:sz w:val="24"/>
          <w:szCs w:val="24"/>
        </w:rPr>
        <w:t>Leg</w:t>
      </w:r>
      <w:proofErr w:type="spellEnd"/>
      <w:r w:rsidRPr="000C1180">
        <w:rPr>
          <w:rFonts w:ascii="Arial" w:eastAsia="Arial" w:hAnsi="Arial" w:cs="Arial"/>
          <w:sz w:val="24"/>
          <w:szCs w:val="24"/>
        </w:rPr>
        <w:t xml:space="preserve"> </w:t>
      </w:r>
      <w:proofErr w:type="spellStart"/>
      <w:r w:rsidRPr="000C1180">
        <w:rPr>
          <w:rFonts w:ascii="Arial" w:eastAsia="Arial" w:hAnsi="Arial" w:cs="Arial"/>
          <w:sz w:val="24"/>
          <w:szCs w:val="24"/>
        </w:rPr>
        <w:t>press</w:t>
      </w:r>
      <w:proofErr w:type="spellEnd"/>
      <w:r w:rsidRPr="000C1180">
        <w:rPr>
          <w:rFonts w:ascii="Arial" w:eastAsia="Arial" w:hAnsi="Arial" w:cs="Arial"/>
          <w:sz w:val="24"/>
          <w:szCs w:val="24"/>
        </w:rPr>
        <w:t xml:space="preserve"> 45º dos momentos </w:t>
      </w:r>
      <w:proofErr w:type="spellStart"/>
      <w:r w:rsidRPr="000C1180">
        <w:rPr>
          <w:rFonts w:ascii="Arial" w:eastAsia="Arial" w:hAnsi="Arial" w:cs="Arial"/>
          <w:sz w:val="24"/>
          <w:szCs w:val="24"/>
        </w:rPr>
        <w:t>Pré</w:t>
      </w:r>
      <w:proofErr w:type="spellEnd"/>
      <w:r w:rsidRPr="000C1180">
        <w:rPr>
          <w:rFonts w:ascii="Arial" w:eastAsia="Arial" w:hAnsi="Arial" w:cs="Arial"/>
          <w:sz w:val="24"/>
          <w:szCs w:val="24"/>
        </w:rPr>
        <w:t xml:space="preserve"> e Pós (Kg). São Paulo, 2019.</w:t>
      </w:r>
    </w:p>
    <w:p w:rsidR="000C1180" w:rsidRPr="000C1180" w:rsidRDefault="000C1180">
      <w:pPr>
        <w:spacing w:line="360" w:lineRule="auto"/>
        <w:jc w:val="both"/>
        <w:rPr>
          <w:rFonts w:ascii="Arial" w:eastAsia="Arial" w:hAnsi="Arial" w:cs="Arial"/>
          <w:sz w:val="24"/>
          <w:szCs w:val="24"/>
        </w:rPr>
      </w:pPr>
      <w:r w:rsidRPr="000C1180">
        <w:rPr>
          <w:rFonts w:ascii="Arial" w:eastAsia="Arial" w:hAnsi="Arial" w:cs="Arial"/>
          <w:noProof/>
          <w:sz w:val="24"/>
          <w:szCs w:val="24"/>
        </w:rPr>
        <w:lastRenderedPageBreak/>
        <w:drawing>
          <wp:inline distT="0" distB="0" distL="0" distR="0">
            <wp:extent cx="5508823" cy="3308350"/>
            <wp:effectExtent l="0" t="0" r="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891" cy="3313195"/>
                    </a:xfrm>
                    <a:prstGeom prst="rect">
                      <a:avLst/>
                    </a:prstGeom>
                    <a:noFill/>
                    <a:ln>
                      <a:noFill/>
                    </a:ln>
                  </pic:spPr>
                </pic:pic>
              </a:graphicData>
            </a:graphic>
          </wp:inline>
        </w:drawing>
      </w:r>
    </w:p>
    <w:p w:rsidR="0045285D" w:rsidRDefault="00BA7515">
      <w:pPr>
        <w:spacing w:line="360" w:lineRule="auto"/>
        <w:jc w:val="both"/>
        <w:rPr>
          <w:rFonts w:ascii="Arial" w:eastAsia="Arial" w:hAnsi="Arial" w:cs="Arial"/>
          <w:sz w:val="24"/>
          <w:szCs w:val="24"/>
        </w:rPr>
      </w:pPr>
      <w:r w:rsidRPr="000C1180">
        <w:rPr>
          <w:rFonts w:ascii="Arial" w:eastAsia="Arial" w:hAnsi="Arial" w:cs="Arial"/>
          <w:sz w:val="24"/>
          <w:szCs w:val="24"/>
        </w:rPr>
        <w:t xml:space="preserve">* p&lt;0,05 em comparação ao momento </w:t>
      </w:r>
      <w:proofErr w:type="spellStart"/>
      <w:r w:rsidRPr="000C1180">
        <w:rPr>
          <w:rFonts w:ascii="Arial" w:eastAsia="Arial" w:hAnsi="Arial" w:cs="Arial"/>
          <w:sz w:val="24"/>
          <w:szCs w:val="24"/>
        </w:rPr>
        <w:t>Pré</w:t>
      </w:r>
      <w:proofErr w:type="spellEnd"/>
    </w:p>
    <w:p w:rsidR="0045285D" w:rsidRDefault="00BA7515">
      <w:pPr>
        <w:spacing w:line="360" w:lineRule="auto"/>
        <w:jc w:val="both"/>
        <w:rPr>
          <w:rFonts w:ascii="Arial" w:eastAsia="Arial" w:hAnsi="Arial" w:cs="Arial"/>
          <w:sz w:val="24"/>
          <w:szCs w:val="24"/>
        </w:rPr>
      </w:pPr>
      <w:r>
        <w:rPr>
          <w:rFonts w:ascii="Arial" w:eastAsia="Arial" w:hAnsi="Arial" w:cs="Arial"/>
          <w:sz w:val="24"/>
          <w:szCs w:val="24"/>
        </w:rPr>
        <w:tab/>
        <w:t xml:space="preserve">Resultados semelhantes foram encontrados no estudo de </w:t>
      </w:r>
      <w:proofErr w:type="spellStart"/>
      <w:r>
        <w:rPr>
          <w:rFonts w:ascii="Arial" w:eastAsia="Arial" w:hAnsi="Arial" w:cs="Arial"/>
          <w:sz w:val="24"/>
          <w:szCs w:val="24"/>
        </w:rPr>
        <w:t>Rogerson</w:t>
      </w:r>
      <w:proofErr w:type="spellEnd"/>
      <w:r>
        <w:rPr>
          <w:rFonts w:ascii="Arial" w:eastAsia="Arial" w:hAnsi="Arial" w:cs="Arial"/>
          <w:sz w:val="24"/>
          <w:szCs w:val="24"/>
        </w:rPr>
        <w:t xml:space="preserve"> et al. (2007), no qual a força de 2RM aumentou significativamente (p 0,001) da semana 0 à semana 6, porém sem diferenças significativas entre os grupos placebo e suplementado. Sendo assim, concluiu-se nesse estudo que os ganhos significativos de força indicam que o programa de treinamento de resistência foi suficiente para promover uma adaptação ao treinamento.</w:t>
      </w:r>
    </w:p>
    <w:p w:rsidR="0045285D" w:rsidRDefault="00BA7515">
      <w:pPr>
        <w:spacing w:line="360" w:lineRule="auto"/>
        <w:ind w:firstLine="720"/>
        <w:jc w:val="both"/>
        <w:rPr>
          <w:rFonts w:ascii="Arial" w:eastAsia="Arial" w:hAnsi="Arial" w:cs="Arial"/>
          <w:sz w:val="24"/>
          <w:szCs w:val="24"/>
        </w:rPr>
      </w:pPr>
      <w:bookmarkStart w:id="3" w:name="_heading=h.1fob9te" w:colFirst="0" w:colLast="0"/>
      <w:bookmarkEnd w:id="3"/>
      <w:r>
        <w:rPr>
          <w:rFonts w:ascii="Arial" w:eastAsia="Arial" w:hAnsi="Arial" w:cs="Arial"/>
          <w:sz w:val="24"/>
          <w:szCs w:val="24"/>
        </w:rPr>
        <w:t xml:space="preserve">Já no estudo de </w:t>
      </w:r>
      <w:proofErr w:type="spellStart"/>
      <w:r>
        <w:rPr>
          <w:rFonts w:ascii="Arial" w:eastAsia="Arial" w:hAnsi="Arial" w:cs="Arial"/>
          <w:sz w:val="24"/>
          <w:szCs w:val="24"/>
        </w:rPr>
        <w:t>Antonio</w:t>
      </w:r>
      <w:proofErr w:type="spellEnd"/>
      <w:r>
        <w:rPr>
          <w:rFonts w:ascii="Arial" w:eastAsia="Arial" w:hAnsi="Arial" w:cs="Arial"/>
          <w:sz w:val="24"/>
          <w:szCs w:val="24"/>
        </w:rPr>
        <w:t xml:space="preserve"> et al. (2000) as repetições no </w:t>
      </w:r>
      <w:proofErr w:type="spellStart"/>
      <w:r>
        <w:rPr>
          <w:rFonts w:ascii="Arial" w:eastAsia="Arial" w:hAnsi="Arial" w:cs="Arial"/>
          <w:sz w:val="24"/>
          <w:szCs w:val="24"/>
        </w:rPr>
        <w:t>Leg</w:t>
      </w:r>
      <w:proofErr w:type="spellEnd"/>
      <w:r>
        <w:rPr>
          <w:rFonts w:ascii="Arial" w:eastAsia="Arial" w:hAnsi="Arial" w:cs="Arial"/>
          <w:sz w:val="24"/>
          <w:szCs w:val="24"/>
        </w:rPr>
        <w:t xml:space="preserve"> Press 45 aumentaram significativamente nos 2 grupos (placebo e com suplementação de TT) e no supino aumentaram significativamente apenas no grupo placebo. </w:t>
      </w:r>
    </w:p>
    <w:p w:rsidR="0045285D" w:rsidRDefault="00BA7515">
      <w:pPr>
        <w:spacing w:line="360" w:lineRule="auto"/>
        <w:jc w:val="both"/>
        <w:rPr>
          <w:rFonts w:ascii="Arial" w:eastAsia="Arial" w:hAnsi="Arial" w:cs="Arial"/>
          <w:sz w:val="24"/>
          <w:szCs w:val="24"/>
        </w:rPr>
      </w:pPr>
      <w:bookmarkStart w:id="4" w:name="_heading=h.3znysh7" w:colFirst="0" w:colLast="0"/>
      <w:bookmarkEnd w:id="4"/>
      <w:r>
        <w:rPr>
          <w:rFonts w:ascii="Arial" w:eastAsia="Arial" w:hAnsi="Arial" w:cs="Arial"/>
          <w:sz w:val="24"/>
          <w:szCs w:val="24"/>
        </w:rPr>
        <w:tab/>
        <w:t xml:space="preserve">Um ensaio clínico recente mostrou que a suplementação com TT apenas aumenta a disponibilidade de testosterona associada a outras substâncias, e seus efeitos positivos estariam associados a maior disponibilidade de óxido nítrico (QURESHI; NAUGHTON; PETROCZI, 2014). </w:t>
      </w:r>
    </w:p>
    <w:p w:rsidR="0045285D" w:rsidRDefault="00BA7515">
      <w:pPr>
        <w:spacing w:line="360" w:lineRule="auto"/>
        <w:ind w:firstLine="720"/>
        <w:jc w:val="both"/>
        <w:rPr>
          <w:rFonts w:ascii="Arial" w:eastAsia="Arial" w:hAnsi="Arial" w:cs="Arial"/>
          <w:sz w:val="24"/>
          <w:szCs w:val="24"/>
          <w:highlight w:val="yellow"/>
        </w:rPr>
      </w:pPr>
      <w:bookmarkStart w:id="5" w:name="_heading=h.2et92p0" w:colFirst="0" w:colLast="0"/>
      <w:bookmarkEnd w:id="5"/>
      <w:r>
        <w:rPr>
          <w:rFonts w:ascii="Arial" w:eastAsia="Arial" w:hAnsi="Arial" w:cs="Arial"/>
          <w:sz w:val="24"/>
          <w:szCs w:val="24"/>
        </w:rPr>
        <w:t xml:space="preserve">Considerando a especificidade do contexto esportivo, os principais benefícios do TT (diminuição do estresse oxidativo e inflamatório) se aplicam ao treinamento físico de alta intensidade, onde atletas apresentam desequilíbrio no estresse oxidativo, aumento de agentes pró-inflamatórios e desequilíbrio energético. Nesses contextos, a suplementação com agentes antioxidantes e anti-inflamatórios é uma estratégia </w:t>
      </w:r>
      <w:r>
        <w:rPr>
          <w:rFonts w:ascii="Arial" w:eastAsia="Arial" w:hAnsi="Arial" w:cs="Arial"/>
          <w:sz w:val="24"/>
          <w:szCs w:val="24"/>
        </w:rPr>
        <w:lastRenderedPageBreak/>
        <w:t xml:space="preserve">eficaz na promoção da proteção dos atletas, pois auxilia no retorno à homeostase e, consequentemente, na manutenção do desempenho (PINGITORE et al., 2015). </w:t>
      </w:r>
    </w:p>
    <w:p w:rsidR="0045285D" w:rsidRDefault="0045285D" w:rsidP="00EC5A9F">
      <w:pPr>
        <w:spacing w:line="360" w:lineRule="auto"/>
        <w:jc w:val="both"/>
        <w:rPr>
          <w:rFonts w:ascii="Arial" w:eastAsia="Arial" w:hAnsi="Arial" w:cs="Arial"/>
          <w:sz w:val="24"/>
          <w:szCs w:val="24"/>
          <w:highlight w:val="white"/>
        </w:rPr>
      </w:pPr>
    </w:p>
    <w:p w:rsidR="0045285D" w:rsidRPr="00EC5A9F" w:rsidRDefault="00BA7515" w:rsidP="00EC5A9F">
      <w:pPr>
        <w:spacing w:line="276" w:lineRule="auto"/>
        <w:jc w:val="both"/>
        <w:rPr>
          <w:rFonts w:ascii="Arial" w:eastAsia="Arial" w:hAnsi="Arial" w:cs="Arial"/>
          <w:b/>
          <w:sz w:val="24"/>
          <w:szCs w:val="24"/>
          <w:highlight w:val="white"/>
        </w:rPr>
      </w:pPr>
      <w:r>
        <w:rPr>
          <w:rFonts w:ascii="Arial" w:eastAsia="Arial" w:hAnsi="Arial" w:cs="Arial"/>
          <w:b/>
          <w:sz w:val="24"/>
          <w:szCs w:val="24"/>
          <w:highlight w:val="white"/>
        </w:rPr>
        <w:t>5. CONSIDERAÇÕES FINAIS</w:t>
      </w:r>
    </w:p>
    <w:p w:rsidR="0045285D" w:rsidRDefault="00BA7515" w:rsidP="00EC5A9F">
      <w:pPr>
        <w:spacing w:line="360" w:lineRule="auto"/>
        <w:jc w:val="both"/>
        <w:rPr>
          <w:rFonts w:ascii="Arial" w:eastAsia="Arial" w:hAnsi="Arial" w:cs="Arial"/>
          <w:sz w:val="24"/>
          <w:szCs w:val="24"/>
          <w:highlight w:val="yellow"/>
        </w:rPr>
      </w:pPr>
      <w:r>
        <w:rPr>
          <w:rFonts w:ascii="Arial" w:eastAsia="Arial" w:hAnsi="Arial" w:cs="Arial"/>
          <w:sz w:val="24"/>
          <w:szCs w:val="24"/>
        </w:rPr>
        <w:tab/>
        <w:t xml:space="preserve">Não houve mudança significativa na quantidade de massa muscular das participantes do estudo, porém a percentual de gordura e circunferências corporais diminuíram. Ocorreu melhora significativa no desempenho quando realizado teste de 1RM, tanto no supino livre quanto no </w:t>
      </w:r>
      <w:proofErr w:type="spellStart"/>
      <w:r>
        <w:rPr>
          <w:rFonts w:ascii="Arial" w:eastAsia="Arial" w:hAnsi="Arial" w:cs="Arial"/>
          <w:sz w:val="24"/>
          <w:szCs w:val="24"/>
        </w:rPr>
        <w:t>Leg</w:t>
      </w:r>
      <w:proofErr w:type="spellEnd"/>
      <w:r>
        <w:rPr>
          <w:rFonts w:ascii="Arial" w:eastAsia="Arial" w:hAnsi="Arial" w:cs="Arial"/>
          <w:sz w:val="24"/>
          <w:szCs w:val="24"/>
        </w:rPr>
        <w:t xml:space="preserve"> </w:t>
      </w:r>
      <w:proofErr w:type="spellStart"/>
      <w:r>
        <w:rPr>
          <w:rFonts w:ascii="Arial" w:eastAsia="Arial" w:hAnsi="Arial" w:cs="Arial"/>
          <w:sz w:val="24"/>
          <w:szCs w:val="24"/>
        </w:rPr>
        <w:t>pres</w:t>
      </w:r>
      <w:proofErr w:type="spellEnd"/>
      <w:r>
        <w:rPr>
          <w:rFonts w:ascii="Arial" w:eastAsia="Arial" w:hAnsi="Arial" w:cs="Arial"/>
          <w:sz w:val="24"/>
          <w:szCs w:val="24"/>
        </w:rPr>
        <w:t xml:space="preserve"> 45. O trabalho, de maneira geral, concordou com a literatura existente sobre o tema.</w:t>
      </w:r>
    </w:p>
    <w:p w:rsidR="0045285D" w:rsidRDefault="00BA7515">
      <w:pPr>
        <w:spacing w:before="240" w:after="240" w:line="360" w:lineRule="auto"/>
        <w:jc w:val="both"/>
        <w:rPr>
          <w:rFonts w:ascii="Arial" w:eastAsia="Arial" w:hAnsi="Arial" w:cs="Arial"/>
          <w:sz w:val="24"/>
          <w:szCs w:val="24"/>
        </w:rPr>
      </w:pPr>
      <w:r>
        <w:rPr>
          <w:rFonts w:ascii="Arial" w:eastAsia="Arial" w:hAnsi="Arial" w:cs="Arial"/>
          <w:sz w:val="24"/>
          <w:szCs w:val="24"/>
        </w:rPr>
        <w:tab/>
        <w:t xml:space="preserve">A diminuição da gordura corporal e das circunferências, junto com uma melhora no desempenho, demonstra que o protocolo de treinamento durante o período do estudo foi efetivo. Também não pode ser descartada a possibilidade do início de um processo de ganho de massa muscular, já que o peso das participantes se manteve igual, porém houve diminuição na quantidade de gordura e circunferências corporais e uma melhora no desempenho. Essa melhora também pode ser </w:t>
      </w:r>
      <w:proofErr w:type="gramStart"/>
      <w:r>
        <w:rPr>
          <w:rFonts w:ascii="Arial" w:eastAsia="Arial" w:hAnsi="Arial" w:cs="Arial"/>
          <w:sz w:val="24"/>
          <w:szCs w:val="24"/>
        </w:rPr>
        <w:t>devido</w:t>
      </w:r>
      <w:proofErr w:type="gramEnd"/>
      <w:r>
        <w:rPr>
          <w:rFonts w:ascii="Arial" w:eastAsia="Arial" w:hAnsi="Arial" w:cs="Arial"/>
          <w:sz w:val="24"/>
          <w:szCs w:val="24"/>
        </w:rPr>
        <w:t xml:space="preserve"> um efeito positivo com a suplementação do TT na capacidade aeróbica e na força. O tamanho da amostra e o período curto do estudo podem ter influenciado nos resultados.</w:t>
      </w:r>
    </w:p>
    <w:p w:rsidR="0045285D" w:rsidRDefault="0045285D">
      <w:pPr>
        <w:jc w:val="both"/>
        <w:rPr>
          <w:rFonts w:ascii="Arial" w:eastAsia="Arial" w:hAnsi="Arial" w:cs="Arial"/>
          <w:b/>
          <w:sz w:val="24"/>
          <w:szCs w:val="24"/>
        </w:rPr>
      </w:pPr>
    </w:p>
    <w:p w:rsidR="0045285D" w:rsidRDefault="00BA7515">
      <w:pPr>
        <w:jc w:val="both"/>
        <w:rPr>
          <w:rFonts w:ascii="Arial" w:eastAsia="Arial" w:hAnsi="Arial" w:cs="Arial"/>
          <w:b/>
          <w:sz w:val="24"/>
          <w:szCs w:val="24"/>
        </w:rPr>
      </w:pPr>
      <w:r>
        <w:rPr>
          <w:rFonts w:ascii="Arial" w:eastAsia="Arial" w:hAnsi="Arial" w:cs="Arial"/>
          <w:b/>
          <w:sz w:val="24"/>
          <w:szCs w:val="24"/>
        </w:rPr>
        <w:t>6. REFERÊNCIAS</w:t>
      </w:r>
    </w:p>
    <w:p w:rsidR="0045285D" w:rsidRPr="000C1180" w:rsidRDefault="00BA7515">
      <w:pPr>
        <w:spacing w:before="240" w:after="240" w:line="240" w:lineRule="auto"/>
        <w:jc w:val="both"/>
        <w:rPr>
          <w:rFonts w:ascii="Arial" w:eastAsia="Arial" w:hAnsi="Arial" w:cs="Arial"/>
          <w:sz w:val="24"/>
          <w:szCs w:val="24"/>
          <w:highlight w:val="white"/>
          <w:lang w:val="en-US"/>
        </w:rPr>
      </w:pPr>
      <w:r>
        <w:rPr>
          <w:rFonts w:ascii="Arial" w:eastAsia="Arial" w:hAnsi="Arial" w:cs="Arial"/>
          <w:sz w:val="24"/>
          <w:szCs w:val="24"/>
          <w:highlight w:val="white"/>
        </w:rPr>
        <w:t xml:space="preserve">ANTONIO, J. et al. </w:t>
      </w:r>
      <w:r w:rsidRPr="000C1180">
        <w:rPr>
          <w:rFonts w:ascii="Arial" w:eastAsia="Arial" w:hAnsi="Arial" w:cs="Arial"/>
          <w:sz w:val="24"/>
          <w:szCs w:val="24"/>
          <w:highlight w:val="white"/>
          <w:lang w:val="en-US"/>
        </w:rPr>
        <w:t xml:space="preserve">The effects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on Body Composition and Exercise Performance in </w:t>
      </w:r>
      <w:proofErr w:type="spellStart"/>
      <w:r w:rsidRPr="000C1180">
        <w:rPr>
          <w:rFonts w:ascii="Arial" w:eastAsia="Arial" w:hAnsi="Arial" w:cs="Arial"/>
          <w:sz w:val="24"/>
          <w:szCs w:val="24"/>
          <w:highlight w:val="white"/>
          <w:lang w:val="en-US"/>
        </w:rPr>
        <w:t>Resistace</w:t>
      </w:r>
      <w:proofErr w:type="spellEnd"/>
      <w:r w:rsidRPr="000C1180">
        <w:rPr>
          <w:rFonts w:ascii="Arial" w:eastAsia="Arial" w:hAnsi="Arial" w:cs="Arial"/>
          <w:sz w:val="24"/>
          <w:szCs w:val="24"/>
          <w:highlight w:val="white"/>
          <w:lang w:val="en-US"/>
        </w:rPr>
        <w:t xml:space="preserve">-Trained Males. </w:t>
      </w:r>
      <w:r w:rsidRPr="000C1180">
        <w:rPr>
          <w:rFonts w:ascii="Arial" w:eastAsia="Arial" w:hAnsi="Arial" w:cs="Arial"/>
          <w:b/>
          <w:sz w:val="24"/>
          <w:szCs w:val="24"/>
          <w:highlight w:val="white"/>
          <w:lang w:val="en-US"/>
        </w:rPr>
        <w:t>International Journal of Sport Nutrition and Exercise Metabolism</w:t>
      </w:r>
      <w:r w:rsidRPr="000C1180">
        <w:rPr>
          <w:rFonts w:ascii="Arial" w:eastAsia="Arial" w:hAnsi="Arial" w:cs="Arial"/>
          <w:sz w:val="24"/>
          <w:szCs w:val="24"/>
          <w:highlight w:val="white"/>
          <w:lang w:val="en-US"/>
        </w:rPr>
        <w:t>, v. 10, p. 208-215, 2000.</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AGGARWAL, A. et al. A novel antilithiatic protein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having cytoprotective potency. </w:t>
      </w:r>
      <w:r w:rsidRPr="000C1180">
        <w:rPr>
          <w:rFonts w:ascii="Arial" w:eastAsia="Arial" w:hAnsi="Arial" w:cs="Arial"/>
          <w:b/>
          <w:sz w:val="24"/>
          <w:szCs w:val="24"/>
          <w:highlight w:val="white"/>
          <w:lang w:val="en-US"/>
        </w:rPr>
        <w:t>Protein Peptide Lett</w:t>
      </w:r>
      <w:r w:rsidRPr="000C1180">
        <w:rPr>
          <w:rFonts w:ascii="Arial" w:eastAsia="Arial" w:hAnsi="Arial" w:cs="Arial"/>
          <w:sz w:val="24"/>
          <w:szCs w:val="24"/>
          <w:highlight w:val="white"/>
          <w:lang w:val="en-US"/>
        </w:rPr>
        <w:t>, v. 19, n. 8, p. 812–819, 2012.</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AKRAM, M. et al.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Linn.: a review article. </w:t>
      </w:r>
      <w:r w:rsidRPr="000C1180">
        <w:rPr>
          <w:rFonts w:ascii="Arial" w:eastAsia="Arial" w:hAnsi="Arial" w:cs="Arial"/>
          <w:b/>
          <w:sz w:val="24"/>
          <w:szCs w:val="24"/>
          <w:highlight w:val="white"/>
          <w:lang w:val="en-US"/>
        </w:rPr>
        <w:t>J Med Plants Res,</w:t>
      </w:r>
      <w:r w:rsidRPr="000C1180">
        <w:rPr>
          <w:rFonts w:ascii="Arial" w:eastAsia="Arial" w:hAnsi="Arial" w:cs="Arial"/>
          <w:sz w:val="24"/>
          <w:szCs w:val="24"/>
          <w:highlight w:val="white"/>
          <w:lang w:val="en-US"/>
        </w:rPr>
        <w:t xml:space="preserve"> v. 5, n. 16, p. 3601–3605, 2011.</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ARCASOY, H.B. et al. Effect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 saponin mixture on smooth muscle preparations: a preliminary study. </w:t>
      </w:r>
      <w:r w:rsidRPr="000C1180">
        <w:rPr>
          <w:rFonts w:ascii="Arial" w:eastAsia="Arial" w:hAnsi="Arial" w:cs="Arial"/>
          <w:b/>
          <w:sz w:val="24"/>
          <w:szCs w:val="24"/>
          <w:highlight w:val="white"/>
          <w:lang w:val="en-US"/>
        </w:rPr>
        <w:t xml:space="preserve">Boll </w:t>
      </w:r>
      <w:proofErr w:type="spellStart"/>
      <w:r w:rsidRPr="000C1180">
        <w:rPr>
          <w:rFonts w:ascii="Arial" w:eastAsia="Arial" w:hAnsi="Arial" w:cs="Arial"/>
          <w:b/>
          <w:sz w:val="24"/>
          <w:szCs w:val="24"/>
          <w:highlight w:val="white"/>
          <w:lang w:val="en-US"/>
        </w:rPr>
        <w:t>Chim</w:t>
      </w:r>
      <w:proofErr w:type="spellEnd"/>
      <w:r w:rsidRPr="000C1180">
        <w:rPr>
          <w:rFonts w:ascii="Arial" w:eastAsia="Arial" w:hAnsi="Arial" w:cs="Arial"/>
          <w:b/>
          <w:sz w:val="24"/>
          <w:szCs w:val="24"/>
          <w:highlight w:val="white"/>
          <w:lang w:val="en-US"/>
        </w:rPr>
        <w:t xml:space="preserve"> Farm</w:t>
      </w:r>
      <w:r w:rsidRPr="000C1180">
        <w:rPr>
          <w:rFonts w:ascii="Arial" w:eastAsia="Arial" w:hAnsi="Arial" w:cs="Arial"/>
          <w:sz w:val="24"/>
          <w:szCs w:val="24"/>
          <w:highlight w:val="white"/>
          <w:lang w:val="en-US"/>
        </w:rPr>
        <w:t>, v. 137, p. 473-475, 1998.</w:t>
      </w:r>
    </w:p>
    <w:p w:rsidR="0045285D" w:rsidRDefault="00BA7515">
      <w:pPr>
        <w:spacing w:after="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ARRUDA, D.P. et al. </w:t>
      </w:r>
      <w:r>
        <w:rPr>
          <w:rFonts w:ascii="Arial" w:eastAsia="Arial" w:hAnsi="Arial" w:cs="Arial"/>
          <w:sz w:val="24"/>
          <w:szCs w:val="24"/>
          <w:highlight w:val="white"/>
        </w:rPr>
        <w:t xml:space="preserve">Relação entre treinamento de força e redução do peso corporal. </w:t>
      </w:r>
      <w:r>
        <w:rPr>
          <w:rFonts w:ascii="Arial" w:eastAsia="Arial" w:hAnsi="Arial" w:cs="Arial"/>
          <w:b/>
          <w:sz w:val="24"/>
          <w:szCs w:val="24"/>
          <w:highlight w:val="white"/>
        </w:rPr>
        <w:t xml:space="preserve">Revista Brasileira de </w:t>
      </w:r>
      <w:proofErr w:type="spellStart"/>
      <w:r>
        <w:rPr>
          <w:rFonts w:ascii="Arial" w:eastAsia="Arial" w:hAnsi="Arial" w:cs="Arial"/>
          <w:b/>
          <w:sz w:val="24"/>
          <w:szCs w:val="24"/>
          <w:highlight w:val="white"/>
        </w:rPr>
        <w:t>Prescrição</w:t>
      </w:r>
      <w:proofErr w:type="spellEnd"/>
      <w:r>
        <w:rPr>
          <w:rFonts w:ascii="Arial" w:eastAsia="Arial" w:hAnsi="Arial" w:cs="Arial"/>
          <w:b/>
          <w:sz w:val="24"/>
          <w:szCs w:val="24"/>
          <w:highlight w:val="white"/>
        </w:rPr>
        <w:t xml:space="preserve"> e Fisiologia do </w:t>
      </w:r>
      <w:proofErr w:type="spellStart"/>
      <w:r>
        <w:rPr>
          <w:rFonts w:ascii="Arial" w:eastAsia="Arial" w:hAnsi="Arial" w:cs="Arial"/>
          <w:b/>
          <w:sz w:val="24"/>
          <w:szCs w:val="24"/>
          <w:highlight w:val="white"/>
        </w:rPr>
        <w:t>Exercício</w:t>
      </w:r>
      <w:proofErr w:type="spellEnd"/>
      <w:r>
        <w:rPr>
          <w:rFonts w:ascii="Arial" w:eastAsia="Arial" w:hAnsi="Arial" w:cs="Arial"/>
          <w:sz w:val="24"/>
          <w:szCs w:val="24"/>
          <w:highlight w:val="white"/>
        </w:rPr>
        <w:t xml:space="preserve">, v.4, n.24, p.605-609, 2010. </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ASLANI, M.R. et al. Experimental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poisoning in sheep: clinical laboratory and pathological findings. </w:t>
      </w:r>
      <w:r w:rsidRPr="000C1180">
        <w:rPr>
          <w:rFonts w:ascii="Arial" w:eastAsia="Arial" w:hAnsi="Arial" w:cs="Arial"/>
          <w:b/>
          <w:sz w:val="24"/>
          <w:szCs w:val="24"/>
          <w:highlight w:val="white"/>
          <w:lang w:val="en-US"/>
        </w:rPr>
        <w:t xml:space="preserve">Vet Res </w:t>
      </w:r>
      <w:proofErr w:type="spellStart"/>
      <w:r w:rsidRPr="000C1180">
        <w:rPr>
          <w:rFonts w:ascii="Arial" w:eastAsia="Arial" w:hAnsi="Arial" w:cs="Arial"/>
          <w:b/>
          <w:sz w:val="24"/>
          <w:szCs w:val="24"/>
          <w:highlight w:val="white"/>
          <w:lang w:val="en-US"/>
        </w:rPr>
        <w:t>Commun</w:t>
      </w:r>
      <w:proofErr w:type="spellEnd"/>
      <w:r w:rsidRPr="000C1180">
        <w:rPr>
          <w:rFonts w:ascii="Arial" w:eastAsia="Arial" w:hAnsi="Arial" w:cs="Arial"/>
          <w:b/>
          <w:sz w:val="24"/>
          <w:szCs w:val="24"/>
          <w:highlight w:val="white"/>
          <w:lang w:val="en-US"/>
        </w:rPr>
        <w:t>,</w:t>
      </w:r>
      <w:r w:rsidRPr="000C1180">
        <w:rPr>
          <w:rFonts w:ascii="Arial" w:eastAsia="Arial" w:hAnsi="Arial" w:cs="Arial"/>
          <w:sz w:val="24"/>
          <w:szCs w:val="24"/>
          <w:highlight w:val="white"/>
          <w:lang w:val="en-US"/>
        </w:rPr>
        <w:t xml:space="preserve"> v. 27, p. 53-62, 2003.</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lastRenderedPageBreak/>
        <w:t xml:space="preserve">ASLANI, M.R. et al. Experimental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poisoning in goats. </w:t>
      </w:r>
      <w:r w:rsidRPr="000C1180">
        <w:rPr>
          <w:rFonts w:ascii="Arial" w:eastAsia="Arial" w:hAnsi="Arial" w:cs="Arial"/>
          <w:b/>
          <w:sz w:val="24"/>
          <w:szCs w:val="24"/>
          <w:highlight w:val="white"/>
          <w:lang w:val="en-US"/>
        </w:rPr>
        <w:t xml:space="preserve">Small </w:t>
      </w:r>
      <w:proofErr w:type="spellStart"/>
      <w:r w:rsidRPr="000C1180">
        <w:rPr>
          <w:rFonts w:ascii="Arial" w:eastAsia="Arial" w:hAnsi="Arial" w:cs="Arial"/>
          <w:b/>
          <w:sz w:val="24"/>
          <w:szCs w:val="24"/>
          <w:highlight w:val="white"/>
          <w:lang w:val="en-US"/>
        </w:rPr>
        <w:t>Rumin</w:t>
      </w:r>
      <w:proofErr w:type="spellEnd"/>
      <w:r w:rsidRPr="000C1180">
        <w:rPr>
          <w:rFonts w:ascii="Arial" w:eastAsia="Arial" w:hAnsi="Arial" w:cs="Arial"/>
          <w:b/>
          <w:sz w:val="24"/>
          <w:szCs w:val="24"/>
          <w:highlight w:val="white"/>
          <w:lang w:val="en-US"/>
        </w:rPr>
        <w:t xml:space="preserve"> Res</w:t>
      </w:r>
      <w:r w:rsidRPr="000C1180">
        <w:rPr>
          <w:rFonts w:ascii="Arial" w:eastAsia="Arial" w:hAnsi="Arial" w:cs="Arial"/>
          <w:sz w:val="24"/>
          <w:szCs w:val="24"/>
          <w:highlight w:val="white"/>
          <w:lang w:val="en-US"/>
        </w:rPr>
        <w:t>, v. 51, p. 261-267, 2004.</w:t>
      </w:r>
    </w:p>
    <w:p w:rsidR="0045285D" w:rsidRPr="000C1180" w:rsidRDefault="00BA7515">
      <w:pPr>
        <w:spacing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BARBOSA-SILVA, M.C. et al. Bioelectrical impedance analysis: population reference values for phase angle by age and sex.</w:t>
      </w:r>
      <w:r w:rsidRPr="000C1180">
        <w:rPr>
          <w:rFonts w:ascii="Arial" w:eastAsia="Arial" w:hAnsi="Arial" w:cs="Arial"/>
          <w:b/>
          <w:sz w:val="24"/>
          <w:szCs w:val="24"/>
          <w:highlight w:val="white"/>
          <w:lang w:val="en-US"/>
        </w:rPr>
        <w:t xml:space="preserve"> Am J Clin </w:t>
      </w:r>
      <w:proofErr w:type="spellStart"/>
      <w:r w:rsidRPr="000C1180">
        <w:rPr>
          <w:rFonts w:ascii="Arial" w:eastAsia="Arial" w:hAnsi="Arial" w:cs="Arial"/>
          <w:b/>
          <w:sz w:val="24"/>
          <w:szCs w:val="24"/>
          <w:highlight w:val="white"/>
          <w:lang w:val="en-US"/>
        </w:rPr>
        <w:t>Nutr</w:t>
      </w:r>
      <w:proofErr w:type="spellEnd"/>
      <w:proofErr w:type="gramStart"/>
      <w:r w:rsidRPr="000C1180">
        <w:rPr>
          <w:rFonts w:ascii="Arial" w:eastAsia="Arial" w:hAnsi="Arial" w:cs="Arial"/>
          <w:b/>
          <w:sz w:val="24"/>
          <w:szCs w:val="24"/>
          <w:highlight w:val="white"/>
          <w:lang w:val="en-US"/>
        </w:rPr>
        <w:t>.</w:t>
      </w:r>
      <w:r w:rsidRPr="000C1180">
        <w:rPr>
          <w:rFonts w:ascii="Arial" w:eastAsia="Arial" w:hAnsi="Arial" w:cs="Arial"/>
          <w:sz w:val="24"/>
          <w:szCs w:val="24"/>
          <w:highlight w:val="white"/>
          <w:lang w:val="en-US"/>
        </w:rPr>
        <w:t>,v</w:t>
      </w:r>
      <w:proofErr w:type="gramEnd"/>
      <w:r w:rsidRPr="000C1180">
        <w:rPr>
          <w:rFonts w:ascii="Arial" w:eastAsia="Arial" w:hAnsi="Arial" w:cs="Arial"/>
          <w:sz w:val="24"/>
          <w:szCs w:val="24"/>
          <w:highlight w:val="white"/>
          <w:lang w:val="en-US"/>
        </w:rPr>
        <w:t xml:space="preserve"> .82, n.1, p.49-52, 2005;</w:t>
      </w:r>
    </w:p>
    <w:p w:rsidR="0045285D" w:rsidRPr="000C1180" w:rsidRDefault="00BA7515">
      <w:pPr>
        <w:spacing w:before="240" w:after="240" w:line="240" w:lineRule="auto"/>
        <w:jc w:val="both"/>
        <w:rPr>
          <w:rFonts w:ascii="Arial" w:eastAsia="Arial" w:hAnsi="Arial" w:cs="Arial"/>
          <w:sz w:val="24"/>
          <w:szCs w:val="24"/>
          <w:highlight w:val="yellow"/>
          <w:lang w:val="en-US"/>
        </w:rPr>
      </w:pPr>
      <w:r w:rsidRPr="000C1180">
        <w:rPr>
          <w:rFonts w:ascii="Arial" w:eastAsia="Arial" w:hAnsi="Arial" w:cs="Arial"/>
          <w:sz w:val="24"/>
          <w:szCs w:val="24"/>
          <w:highlight w:val="white"/>
          <w:lang w:val="en-US"/>
        </w:rPr>
        <w:t xml:space="preserve">BABURAO, et al. Anti-inflammatory and antimicrobial activities of methanolic extract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Linn plant</w:t>
      </w:r>
      <w:r w:rsidRPr="000C1180">
        <w:rPr>
          <w:rFonts w:ascii="Arial" w:eastAsia="Arial" w:hAnsi="Arial" w:cs="Arial"/>
          <w:b/>
          <w:sz w:val="24"/>
          <w:szCs w:val="24"/>
          <w:highlight w:val="white"/>
          <w:lang w:val="en-US"/>
        </w:rPr>
        <w:t>. Int J Chem Sci,</w:t>
      </w:r>
      <w:r w:rsidRPr="000C1180">
        <w:rPr>
          <w:rFonts w:ascii="Arial" w:eastAsia="Arial" w:hAnsi="Arial" w:cs="Arial"/>
          <w:sz w:val="24"/>
          <w:szCs w:val="24"/>
          <w:highlight w:val="white"/>
          <w:lang w:val="en-US"/>
        </w:rPr>
        <w:t xml:space="preserve"> v. 16, n. 2, p. 209–218, 2009.</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lang w:val="en-US"/>
        </w:rPr>
        <w:t xml:space="preserve">BROWN, G.A. et al. Effects of anabolic precursors on serum testosterone concentrations and adaptations to resistance training in young men. </w:t>
      </w:r>
      <w:proofErr w:type="spellStart"/>
      <w:r>
        <w:rPr>
          <w:rFonts w:ascii="Arial" w:eastAsia="Arial" w:hAnsi="Arial" w:cs="Arial"/>
          <w:b/>
          <w:sz w:val="24"/>
          <w:szCs w:val="24"/>
          <w:highlight w:val="white"/>
        </w:rPr>
        <w:t>Int</w:t>
      </w:r>
      <w:proofErr w:type="spellEnd"/>
      <w:r>
        <w:rPr>
          <w:rFonts w:ascii="Arial" w:eastAsia="Arial" w:hAnsi="Arial" w:cs="Arial"/>
          <w:b/>
          <w:sz w:val="24"/>
          <w:szCs w:val="24"/>
          <w:highlight w:val="white"/>
        </w:rPr>
        <w:t xml:space="preserve"> J Sport </w:t>
      </w:r>
      <w:proofErr w:type="spellStart"/>
      <w:r>
        <w:rPr>
          <w:rFonts w:ascii="Arial" w:eastAsia="Arial" w:hAnsi="Arial" w:cs="Arial"/>
          <w:b/>
          <w:sz w:val="24"/>
          <w:szCs w:val="24"/>
          <w:highlight w:val="white"/>
        </w:rPr>
        <w:t>Nutr</w:t>
      </w:r>
      <w:proofErr w:type="spellEnd"/>
      <w:r>
        <w:rPr>
          <w:rFonts w:ascii="Arial" w:eastAsia="Arial" w:hAnsi="Arial" w:cs="Arial"/>
          <w:b/>
          <w:sz w:val="24"/>
          <w:szCs w:val="24"/>
          <w:highlight w:val="white"/>
        </w:rPr>
        <w:t xml:space="preserve"> </w:t>
      </w:r>
      <w:proofErr w:type="spellStart"/>
      <w:r>
        <w:rPr>
          <w:rFonts w:ascii="Arial" w:eastAsia="Arial" w:hAnsi="Arial" w:cs="Arial"/>
          <w:b/>
          <w:sz w:val="24"/>
          <w:szCs w:val="24"/>
          <w:highlight w:val="white"/>
        </w:rPr>
        <w:t>Exerc</w:t>
      </w:r>
      <w:proofErr w:type="spellEnd"/>
      <w:r>
        <w:rPr>
          <w:rFonts w:ascii="Arial" w:eastAsia="Arial" w:hAnsi="Arial" w:cs="Arial"/>
          <w:b/>
          <w:sz w:val="24"/>
          <w:szCs w:val="24"/>
          <w:highlight w:val="white"/>
        </w:rPr>
        <w:t xml:space="preserve"> </w:t>
      </w:r>
      <w:proofErr w:type="spellStart"/>
      <w:r>
        <w:rPr>
          <w:rFonts w:ascii="Arial" w:eastAsia="Arial" w:hAnsi="Arial" w:cs="Arial"/>
          <w:b/>
          <w:sz w:val="24"/>
          <w:szCs w:val="24"/>
          <w:highlight w:val="white"/>
        </w:rPr>
        <w:t>Metab</w:t>
      </w:r>
      <w:proofErr w:type="spellEnd"/>
      <w:r>
        <w:rPr>
          <w:rFonts w:ascii="Arial" w:eastAsia="Arial" w:hAnsi="Arial" w:cs="Arial"/>
          <w:b/>
          <w:sz w:val="24"/>
          <w:szCs w:val="24"/>
          <w:highlight w:val="white"/>
        </w:rPr>
        <w:t>.</w:t>
      </w:r>
      <w:r>
        <w:rPr>
          <w:rFonts w:ascii="Arial" w:eastAsia="Arial" w:hAnsi="Arial" w:cs="Arial"/>
          <w:sz w:val="24"/>
          <w:szCs w:val="24"/>
          <w:highlight w:val="white"/>
        </w:rPr>
        <w:t>, v. 10, n. 3, p. 340-59, 2000.</w:t>
      </w:r>
      <w:r>
        <w:rPr>
          <w:rFonts w:ascii="Arial" w:eastAsia="Arial" w:hAnsi="Arial" w:cs="Arial"/>
          <w:sz w:val="24"/>
          <w:szCs w:val="24"/>
          <w:highlight w:val="white"/>
        </w:rPr>
        <w:tab/>
      </w:r>
    </w:p>
    <w:p w:rsidR="0045285D" w:rsidRDefault="00BA7515">
      <w:pPr>
        <w:spacing w:before="220" w:after="200" w:line="240" w:lineRule="auto"/>
        <w:jc w:val="both"/>
        <w:rPr>
          <w:rFonts w:ascii="Arial" w:eastAsia="Arial" w:hAnsi="Arial" w:cs="Arial"/>
          <w:sz w:val="24"/>
          <w:szCs w:val="24"/>
          <w:highlight w:val="white"/>
        </w:rPr>
      </w:pPr>
      <w:r>
        <w:rPr>
          <w:rFonts w:ascii="Arial" w:eastAsia="Arial" w:hAnsi="Arial" w:cs="Arial"/>
          <w:sz w:val="24"/>
          <w:szCs w:val="24"/>
          <w:highlight w:val="white"/>
        </w:rPr>
        <w:t xml:space="preserve">BROWN, LE; WEIR, JP; Recomendação de procedimentos da Sociedade Americana de Fisiologia do Exercício (ASEP) I: avaliação </w:t>
      </w:r>
      <w:proofErr w:type="spellStart"/>
      <w:r>
        <w:rPr>
          <w:rFonts w:ascii="Arial" w:eastAsia="Arial" w:hAnsi="Arial" w:cs="Arial"/>
          <w:sz w:val="24"/>
          <w:szCs w:val="24"/>
          <w:highlight w:val="white"/>
        </w:rPr>
        <w:t>precis</w:t>
      </w:r>
      <w:proofErr w:type="spellEnd"/>
      <w:r>
        <w:rPr>
          <w:rFonts w:ascii="Arial" w:eastAsia="Arial" w:hAnsi="Arial" w:cs="Arial"/>
          <w:sz w:val="24"/>
          <w:szCs w:val="24"/>
          <w:highlight w:val="white"/>
        </w:rPr>
        <w:t xml:space="preserve"> da força e potência muscular. </w:t>
      </w:r>
      <w:r>
        <w:rPr>
          <w:rFonts w:ascii="Arial" w:eastAsia="Arial" w:hAnsi="Arial" w:cs="Arial"/>
          <w:b/>
          <w:sz w:val="24"/>
          <w:szCs w:val="24"/>
          <w:highlight w:val="white"/>
        </w:rPr>
        <w:t xml:space="preserve">R. bras. </w:t>
      </w:r>
      <w:proofErr w:type="spellStart"/>
      <w:r>
        <w:rPr>
          <w:rFonts w:ascii="Arial" w:eastAsia="Arial" w:hAnsi="Arial" w:cs="Arial"/>
          <w:b/>
          <w:sz w:val="24"/>
          <w:szCs w:val="24"/>
          <w:highlight w:val="white"/>
        </w:rPr>
        <w:t>Ci</w:t>
      </w:r>
      <w:proofErr w:type="spellEnd"/>
      <w:r>
        <w:rPr>
          <w:rFonts w:ascii="Arial" w:eastAsia="Arial" w:hAnsi="Arial" w:cs="Arial"/>
          <w:b/>
          <w:sz w:val="24"/>
          <w:szCs w:val="24"/>
          <w:highlight w:val="white"/>
        </w:rPr>
        <w:t>. e Mov. Brasília,</w:t>
      </w:r>
      <w:r>
        <w:rPr>
          <w:rFonts w:ascii="Arial" w:eastAsia="Arial" w:hAnsi="Arial" w:cs="Arial"/>
          <w:sz w:val="24"/>
          <w:szCs w:val="24"/>
          <w:highlight w:val="white"/>
        </w:rPr>
        <w:t xml:space="preserve"> v. 11, n. 4, p. 95-110, 2003.</w:t>
      </w:r>
    </w:p>
    <w:p w:rsidR="0045285D" w:rsidRPr="000C1180" w:rsidRDefault="00BA7515">
      <w:pPr>
        <w:spacing w:before="240" w:after="240" w:line="240" w:lineRule="auto"/>
        <w:jc w:val="both"/>
        <w:rPr>
          <w:rFonts w:ascii="Arial" w:eastAsia="Arial" w:hAnsi="Arial" w:cs="Arial"/>
          <w:sz w:val="24"/>
          <w:szCs w:val="24"/>
          <w:highlight w:val="yellow"/>
          <w:lang w:val="en-US"/>
        </w:rPr>
      </w:pPr>
      <w:r>
        <w:rPr>
          <w:rFonts w:ascii="Arial" w:eastAsia="Arial" w:hAnsi="Arial" w:cs="Arial"/>
          <w:sz w:val="24"/>
          <w:szCs w:val="24"/>
          <w:highlight w:val="white"/>
        </w:rPr>
        <w:t xml:space="preserve">CHINESE PHARMACOPOEIA COMMISSION. </w:t>
      </w:r>
      <w:r w:rsidRPr="000C1180">
        <w:rPr>
          <w:rFonts w:ascii="Arial" w:eastAsia="Arial" w:hAnsi="Arial" w:cs="Arial"/>
          <w:b/>
          <w:sz w:val="24"/>
          <w:szCs w:val="24"/>
          <w:highlight w:val="white"/>
          <w:lang w:val="en-US"/>
        </w:rPr>
        <w:t>Chinese pharmacopoeia (volume I).</w:t>
      </w:r>
      <w:r w:rsidRPr="000C1180">
        <w:rPr>
          <w:rFonts w:ascii="Arial" w:eastAsia="Arial" w:hAnsi="Arial" w:cs="Arial"/>
          <w:sz w:val="24"/>
          <w:szCs w:val="24"/>
          <w:highlight w:val="white"/>
          <w:lang w:val="en-US"/>
        </w:rPr>
        <w:t xml:space="preserve"> China Medical Science Press: Beijing, p. 352, 2015.</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EL-SHAIBANY, A.; AL-HABORI, M.; AL-TAHAMI, B. Anti-</w:t>
      </w:r>
      <w:proofErr w:type="spellStart"/>
      <w:r w:rsidRPr="000C1180">
        <w:rPr>
          <w:rFonts w:ascii="Arial" w:eastAsia="Arial" w:hAnsi="Arial" w:cs="Arial"/>
          <w:sz w:val="24"/>
          <w:szCs w:val="24"/>
          <w:highlight w:val="white"/>
          <w:lang w:val="en-US"/>
        </w:rPr>
        <w:t>hyperglycaemic</w:t>
      </w:r>
      <w:proofErr w:type="spellEnd"/>
      <w:r w:rsidRPr="000C1180">
        <w:rPr>
          <w:rFonts w:ascii="Arial" w:eastAsia="Arial" w:hAnsi="Arial" w:cs="Arial"/>
          <w:sz w:val="24"/>
          <w:szCs w:val="24"/>
          <w:highlight w:val="white"/>
          <w:lang w:val="en-US"/>
        </w:rPr>
        <w:t xml:space="preserve"> activity of </w:t>
      </w:r>
      <w:proofErr w:type="spellStart"/>
      <w:r w:rsidRPr="000C1180">
        <w:rPr>
          <w:rFonts w:ascii="Arial" w:eastAsia="Arial" w:hAnsi="Arial" w:cs="Arial"/>
          <w:sz w:val="24"/>
          <w:szCs w:val="24"/>
          <w:highlight w:val="white"/>
          <w:lang w:val="en-US"/>
        </w:rPr>
        <w:t>Tribulusterrestris</w:t>
      </w:r>
      <w:proofErr w:type="spellEnd"/>
      <w:r w:rsidRPr="000C1180">
        <w:rPr>
          <w:rFonts w:ascii="Arial" w:eastAsia="Arial" w:hAnsi="Arial" w:cs="Arial"/>
          <w:sz w:val="24"/>
          <w:szCs w:val="24"/>
          <w:highlight w:val="white"/>
          <w:lang w:val="en-US"/>
        </w:rPr>
        <w:t xml:space="preserve"> L. aerial part extract in </w:t>
      </w:r>
      <w:proofErr w:type="spellStart"/>
      <w:r w:rsidRPr="000C1180">
        <w:rPr>
          <w:rFonts w:ascii="Arial" w:eastAsia="Arial" w:hAnsi="Arial" w:cs="Arial"/>
          <w:sz w:val="24"/>
          <w:szCs w:val="24"/>
          <w:highlight w:val="white"/>
          <w:lang w:val="en-US"/>
        </w:rPr>
        <w:t>glucoseloaded</w:t>
      </w:r>
      <w:proofErr w:type="spellEnd"/>
      <w:r w:rsidRPr="000C1180">
        <w:rPr>
          <w:rFonts w:ascii="Arial" w:eastAsia="Arial" w:hAnsi="Arial" w:cs="Arial"/>
          <w:sz w:val="24"/>
          <w:szCs w:val="24"/>
          <w:highlight w:val="white"/>
          <w:lang w:val="en-US"/>
        </w:rPr>
        <w:t xml:space="preserve"> normal rabbits. </w:t>
      </w:r>
      <w:proofErr w:type="spellStart"/>
      <w:r>
        <w:rPr>
          <w:rFonts w:ascii="Arial" w:eastAsia="Arial" w:hAnsi="Arial" w:cs="Arial"/>
          <w:b/>
          <w:sz w:val="24"/>
          <w:szCs w:val="24"/>
          <w:highlight w:val="white"/>
        </w:rPr>
        <w:t>Trop</w:t>
      </w:r>
      <w:proofErr w:type="spellEnd"/>
      <w:r>
        <w:rPr>
          <w:rFonts w:ascii="Arial" w:eastAsia="Arial" w:hAnsi="Arial" w:cs="Arial"/>
          <w:b/>
          <w:sz w:val="24"/>
          <w:szCs w:val="24"/>
          <w:highlight w:val="white"/>
        </w:rPr>
        <w:t xml:space="preserve"> J </w:t>
      </w:r>
      <w:proofErr w:type="spellStart"/>
      <w:r>
        <w:rPr>
          <w:rFonts w:ascii="Arial" w:eastAsia="Arial" w:hAnsi="Arial" w:cs="Arial"/>
          <w:b/>
          <w:sz w:val="24"/>
          <w:szCs w:val="24"/>
          <w:highlight w:val="white"/>
        </w:rPr>
        <w:t>Pharm</w:t>
      </w:r>
      <w:proofErr w:type="spellEnd"/>
      <w:r>
        <w:rPr>
          <w:rFonts w:ascii="Arial" w:eastAsia="Arial" w:hAnsi="Arial" w:cs="Arial"/>
          <w:b/>
          <w:sz w:val="24"/>
          <w:szCs w:val="24"/>
          <w:highlight w:val="white"/>
        </w:rPr>
        <w:t xml:space="preserve"> Res</w:t>
      </w:r>
      <w:r>
        <w:rPr>
          <w:rFonts w:ascii="Arial" w:eastAsia="Arial" w:hAnsi="Arial" w:cs="Arial"/>
          <w:sz w:val="24"/>
          <w:szCs w:val="24"/>
          <w:highlight w:val="white"/>
        </w:rPr>
        <w:t>, v. 14, n. 12, p. 2263–2268, 2015.</w:t>
      </w:r>
    </w:p>
    <w:p w:rsidR="0045285D" w:rsidRPr="000C1180" w:rsidRDefault="00BA7515">
      <w:pPr>
        <w:spacing w:before="240" w:after="240" w:line="240" w:lineRule="auto"/>
        <w:jc w:val="both"/>
        <w:rPr>
          <w:rFonts w:ascii="Arial" w:eastAsia="Arial" w:hAnsi="Arial" w:cs="Arial"/>
          <w:sz w:val="24"/>
          <w:szCs w:val="24"/>
          <w:highlight w:val="yellow"/>
          <w:lang w:val="en-US"/>
        </w:rPr>
      </w:pPr>
      <w:r>
        <w:rPr>
          <w:rFonts w:ascii="Arial" w:eastAsia="Arial" w:hAnsi="Arial" w:cs="Arial"/>
          <w:sz w:val="24"/>
          <w:szCs w:val="24"/>
          <w:highlight w:val="white"/>
        </w:rPr>
        <w:t xml:space="preserve">GORANOVA, T.E. et al. </w:t>
      </w:r>
      <w:r w:rsidRPr="000C1180">
        <w:rPr>
          <w:rFonts w:ascii="Arial" w:eastAsia="Arial" w:hAnsi="Arial" w:cs="Arial"/>
          <w:sz w:val="24"/>
          <w:szCs w:val="24"/>
          <w:highlight w:val="white"/>
          <w:lang w:val="en-US"/>
        </w:rPr>
        <w:t xml:space="preserve">Changes in gene expression of CXCR4, CCR7 and BCL2 after treatment of breast cancer cells with saponin extract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w:t>
      </w:r>
      <w:proofErr w:type="spellStart"/>
      <w:r w:rsidRPr="000C1180">
        <w:rPr>
          <w:rFonts w:ascii="Arial" w:eastAsia="Arial" w:hAnsi="Arial" w:cs="Arial"/>
          <w:b/>
          <w:sz w:val="24"/>
          <w:szCs w:val="24"/>
          <w:highlight w:val="white"/>
          <w:lang w:val="en-US"/>
        </w:rPr>
        <w:t>Neoplasma</w:t>
      </w:r>
      <w:proofErr w:type="spellEnd"/>
      <w:r w:rsidRPr="000C1180">
        <w:rPr>
          <w:rFonts w:ascii="Arial" w:eastAsia="Arial" w:hAnsi="Arial" w:cs="Arial"/>
          <w:sz w:val="24"/>
          <w:szCs w:val="24"/>
          <w:highlight w:val="white"/>
          <w:lang w:val="en-US"/>
        </w:rPr>
        <w:t>, v. 62, n. 1, p. 27–33, 2015.</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HEMALATHA, S.; HARI, R. Comparative antioxidant activities of crude ethanolic and saponin rich butanol extracts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fruits. </w:t>
      </w:r>
      <w:r w:rsidRPr="000C1180">
        <w:rPr>
          <w:rFonts w:ascii="Arial" w:eastAsia="Arial" w:hAnsi="Arial" w:cs="Arial"/>
          <w:b/>
          <w:sz w:val="24"/>
          <w:szCs w:val="24"/>
          <w:highlight w:val="white"/>
          <w:lang w:val="en-US"/>
        </w:rPr>
        <w:t>Int J Pharma Biol Sc,</w:t>
      </w:r>
      <w:r w:rsidRPr="000C1180">
        <w:rPr>
          <w:rFonts w:ascii="Arial" w:eastAsia="Arial" w:hAnsi="Arial" w:cs="Arial"/>
          <w:sz w:val="24"/>
          <w:szCs w:val="24"/>
          <w:highlight w:val="white"/>
          <w:lang w:val="en-US"/>
        </w:rPr>
        <w:t xml:space="preserve"> v. 4, n. 4, p. 784–793, 2013.</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HU, D.H. Effect of gross saponins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on hepatic apoptosis in mice’s acute hepatic injury induced by </w:t>
      </w:r>
      <w:proofErr w:type="spellStart"/>
      <w:r w:rsidRPr="000C1180">
        <w:rPr>
          <w:rFonts w:ascii="Arial" w:eastAsia="Arial" w:hAnsi="Arial" w:cs="Arial"/>
          <w:sz w:val="24"/>
          <w:szCs w:val="24"/>
          <w:highlight w:val="white"/>
          <w:lang w:val="en-US"/>
        </w:rPr>
        <w:t>tripterygium</w:t>
      </w:r>
      <w:proofErr w:type="spellEnd"/>
      <w:r w:rsidRPr="000C1180">
        <w:rPr>
          <w:rFonts w:ascii="Arial" w:eastAsia="Arial" w:hAnsi="Arial" w:cs="Arial"/>
          <w:sz w:val="24"/>
          <w:szCs w:val="24"/>
          <w:highlight w:val="white"/>
          <w:lang w:val="en-US"/>
        </w:rPr>
        <w:t xml:space="preserve"> glycosides. </w:t>
      </w:r>
      <w:proofErr w:type="spellStart"/>
      <w:r w:rsidRPr="000C1180">
        <w:rPr>
          <w:rFonts w:ascii="Arial" w:eastAsia="Arial" w:hAnsi="Arial" w:cs="Arial"/>
          <w:b/>
          <w:sz w:val="24"/>
          <w:szCs w:val="24"/>
          <w:highlight w:val="white"/>
          <w:lang w:val="en-US"/>
        </w:rPr>
        <w:t>Heibei</w:t>
      </w:r>
      <w:proofErr w:type="spellEnd"/>
      <w:r w:rsidRPr="000C1180">
        <w:rPr>
          <w:rFonts w:ascii="Arial" w:eastAsia="Arial" w:hAnsi="Arial" w:cs="Arial"/>
          <w:b/>
          <w:sz w:val="24"/>
          <w:szCs w:val="24"/>
          <w:highlight w:val="white"/>
          <w:lang w:val="en-US"/>
        </w:rPr>
        <w:t xml:space="preserve"> University Chinese Medicine</w:t>
      </w:r>
      <w:r w:rsidRPr="000C1180">
        <w:rPr>
          <w:rFonts w:ascii="Arial" w:eastAsia="Arial" w:hAnsi="Arial" w:cs="Arial"/>
          <w:sz w:val="24"/>
          <w:szCs w:val="24"/>
          <w:highlight w:val="white"/>
          <w:lang w:val="en-US"/>
        </w:rPr>
        <w:t>, 2009.</w:t>
      </w:r>
    </w:p>
    <w:p w:rsidR="0045285D" w:rsidRPr="000C1180" w:rsidRDefault="00BA7515">
      <w:pPr>
        <w:spacing w:before="240" w:after="240" w:line="240" w:lineRule="auto"/>
        <w:jc w:val="both"/>
        <w:rPr>
          <w:rFonts w:ascii="Arial" w:eastAsia="Arial" w:hAnsi="Arial" w:cs="Arial"/>
          <w:sz w:val="24"/>
          <w:szCs w:val="24"/>
          <w:lang w:val="en-US"/>
        </w:rPr>
      </w:pPr>
      <w:r w:rsidRPr="000C1180">
        <w:rPr>
          <w:rFonts w:ascii="Arial" w:eastAsia="Arial" w:hAnsi="Arial" w:cs="Arial"/>
          <w:sz w:val="24"/>
          <w:szCs w:val="24"/>
          <w:lang w:val="en-US"/>
        </w:rPr>
        <w:t xml:space="preserve">JACKSON, A. S.; POLLOCK, M.L. Generalized equations for predicting body density of women.  Med Sci Sports </w:t>
      </w:r>
      <w:proofErr w:type="spellStart"/>
      <w:r w:rsidRPr="000C1180">
        <w:rPr>
          <w:rFonts w:ascii="Arial" w:eastAsia="Arial" w:hAnsi="Arial" w:cs="Arial"/>
          <w:sz w:val="24"/>
          <w:szCs w:val="24"/>
          <w:lang w:val="en-US"/>
        </w:rPr>
        <w:t>Exerc</w:t>
      </w:r>
      <w:proofErr w:type="spellEnd"/>
      <w:r w:rsidRPr="000C1180">
        <w:rPr>
          <w:rFonts w:ascii="Arial" w:eastAsia="Arial" w:hAnsi="Arial" w:cs="Arial"/>
          <w:sz w:val="24"/>
          <w:szCs w:val="24"/>
          <w:lang w:val="en-US"/>
        </w:rPr>
        <w:t>, v.12, p.175-82, 1980.</w:t>
      </w:r>
    </w:p>
    <w:p w:rsidR="0045285D" w:rsidRPr="000C1180" w:rsidRDefault="00BA7515">
      <w:pPr>
        <w:spacing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JAMBASSI, F.J.C. et al.  </w:t>
      </w:r>
      <w:r>
        <w:rPr>
          <w:rFonts w:ascii="Arial" w:eastAsia="Arial" w:hAnsi="Arial" w:cs="Arial"/>
          <w:sz w:val="24"/>
          <w:szCs w:val="24"/>
          <w:highlight w:val="white"/>
        </w:rPr>
        <w:t xml:space="preserve">Estimativa da composição corporal e análise de concordância entre analisadores de impedância bioelétrica bipolar e </w:t>
      </w:r>
      <w:proofErr w:type="spellStart"/>
      <w:r>
        <w:rPr>
          <w:rFonts w:ascii="Arial" w:eastAsia="Arial" w:hAnsi="Arial" w:cs="Arial"/>
          <w:sz w:val="24"/>
          <w:szCs w:val="24"/>
          <w:highlight w:val="white"/>
        </w:rPr>
        <w:t>tetrapolar</w:t>
      </w:r>
      <w:proofErr w:type="spellEnd"/>
      <w:r>
        <w:rPr>
          <w:rFonts w:ascii="Arial" w:eastAsia="Arial" w:hAnsi="Arial" w:cs="Arial"/>
          <w:sz w:val="24"/>
          <w:szCs w:val="24"/>
          <w:highlight w:val="white"/>
        </w:rPr>
        <w:t xml:space="preserve">. </w:t>
      </w:r>
      <w:r w:rsidRPr="000C1180">
        <w:rPr>
          <w:rFonts w:ascii="Arial" w:eastAsia="Arial" w:hAnsi="Arial" w:cs="Arial"/>
          <w:b/>
          <w:sz w:val="24"/>
          <w:szCs w:val="24"/>
          <w:highlight w:val="white"/>
          <w:lang w:val="en-US"/>
        </w:rPr>
        <w:t xml:space="preserve">Rev Bras Med </w:t>
      </w:r>
      <w:proofErr w:type="spellStart"/>
      <w:r w:rsidRPr="000C1180">
        <w:rPr>
          <w:rFonts w:ascii="Arial" w:eastAsia="Arial" w:hAnsi="Arial" w:cs="Arial"/>
          <w:b/>
          <w:sz w:val="24"/>
          <w:szCs w:val="24"/>
          <w:highlight w:val="white"/>
          <w:lang w:val="en-US"/>
        </w:rPr>
        <w:t>Esporte</w:t>
      </w:r>
      <w:proofErr w:type="spellEnd"/>
      <w:r w:rsidRPr="000C1180">
        <w:rPr>
          <w:rFonts w:ascii="Arial" w:eastAsia="Arial" w:hAnsi="Arial" w:cs="Arial"/>
          <w:sz w:val="24"/>
          <w:szCs w:val="24"/>
          <w:highlight w:val="white"/>
          <w:lang w:val="en-US"/>
        </w:rPr>
        <w:t xml:space="preserve">, v. 16, n. 1, p.13-7, 2010. </w:t>
      </w:r>
    </w:p>
    <w:p w:rsidR="0045285D" w:rsidRPr="000C1180" w:rsidRDefault="00BA7515">
      <w:pPr>
        <w:spacing w:before="240" w:after="240" w:line="240" w:lineRule="auto"/>
        <w:jc w:val="both"/>
        <w:rPr>
          <w:rFonts w:ascii="Arial" w:eastAsia="Arial" w:hAnsi="Arial" w:cs="Arial"/>
          <w:sz w:val="24"/>
          <w:szCs w:val="24"/>
          <w:highlight w:val="yellow"/>
          <w:lang w:val="en-US"/>
        </w:rPr>
      </w:pPr>
      <w:r w:rsidRPr="000C1180">
        <w:rPr>
          <w:rFonts w:ascii="Arial" w:eastAsia="Arial" w:hAnsi="Arial" w:cs="Arial"/>
          <w:sz w:val="24"/>
          <w:szCs w:val="24"/>
          <w:highlight w:val="white"/>
          <w:lang w:val="en-US"/>
        </w:rPr>
        <w:t xml:space="preserve">JIJI, M.J. et al. Antilipidemic activity of </w:t>
      </w:r>
      <w:proofErr w:type="spellStart"/>
      <w:r w:rsidRPr="000C1180">
        <w:rPr>
          <w:rFonts w:ascii="Arial" w:eastAsia="Arial" w:hAnsi="Arial" w:cs="Arial"/>
          <w:sz w:val="24"/>
          <w:szCs w:val="24"/>
          <w:highlight w:val="white"/>
          <w:lang w:val="en-US"/>
        </w:rPr>
        <w:t>Cissus</w:t>
      </w:r>
      <w:proofErr w:type="spellEnd"/>
      <w:r w:rsidRPr="000C1180">
        <w:rPr>
          <w:rFonts w:ascii="Arial" w:eastAsia="Arial" w:hAnsi="Arial" w:cs="Arial"/>
          <w:sz w:val="24"/>
          <w:szCs w:val="24"/>
          <w:highlight w:val="white"/>
          <w:lang w:val="en-US"/>
        </w:rPr>
        <w:t xml:space="preserve"> </w:t>
      </w:r>
      <w:proofErr w:type="spellStart"/>
      <w:r w:rsidRPr="000C1180">
        <w:rPr>
          <w:rFonts w:ascii="Arial" w:eastAsia="Arial" w:hAnsi="Arial" w:cs="Arial"/>
          <w:sz w:val="24"/>
          <w:szCs w:val="24"/>
          <w:highlight w:val="white"/>
          <w:lang w:val="en-US"/>
        </w:rPr>
        <w:t>quadrangularis</w:t>
      </w:r>
      <w:proofErr w:type="spellEnd"/>
      <w:r w:rsidRPr="000C1180">
        <w:rPr>
          <w:rFonts w:ascii="Arial" w:eastAsia="Arial" w:hAnsi="Arial" w:cs="Arial"/>
          <w:sz w:val="24"/>
          <w:szCs w:val="24"/>
          <w:highlight w:val="white"/>
          <w:lang w:val="en-US"/>
        </w:rPr>
        <w:t xml:space="preserve"> and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on obesity in high fat fed rats. </w:t>
      </w:r>
      <w:r w:rsidRPr="000C1180">
        <w:rPr>
          <w:rFonts w:ascii="Arial" w:eastAsia="Arial" w:hAnsi="Arial" w:cs="Arial"/>
          <w:b/>
          <w:sz w:val="24"/>
          <w:szCs w:val="24"/>
          <w:highlight w:val="white"/>
          <w:lang w:val="en-US"/>
        </w:rPr>
        <w:t>Pharmacology online</w:t>
      </w:r>
      <w:r w:rsidRPr="000C1180">
        <w:rPr>
          <w:rFonts w:ascii="Arial" w:eastAsia="Arial" w:hAnsi="Arial" w:cs="Arial"/>
          <w:sz w:val="24"/>
          <w:szCs w:val="24"/>
          <w:highlight w:val="white"/>
          <w:lang w:val="en-US"/>
        </w:rPr>
        <w:t>, v. 2, p. 1250-1258, 2009.</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KALAMEGAM, G.; ADAIKAN, P.G. The hormonal effects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and its role in the management of male erectile dysfunction—an evaluation using primates, rabbit and rat. </w:t>
      </w:r>
      <w:r w:rsidRPr="000C1180">
        <w:rPr>
          <w:rFonts w:ascii="Arial" w:eastAsia="Arial" w:hAnsi="Arial" w:cs="Arial"/>
          <w:b/>
          <w:sz w:val="24"/>
          <w:szCs w:val="24"/>
          <w:highlight w:val="white"/>
          <w:lang w:val="en-US"/>
        </w:rPr>
        <w:t>Phytomedicine</w:t>
      </w:r>
      <w:r w:rsidRPr="000C1180">
        <w:rPr>
          <w:rFonts w:ascii="Arial" w:eastAsia="Arial" w:hAnsi="Arial" w:cs="Arial"/>
          <w:sz w:val="24"/>
          <w:szCs w:val="24"/>
          <w:highlight w:val="white"/>
          <w:lang w:val="en-US"/>
        </w:rPr>
        <w:t>, v. 15, n. 1-2, p.44–54, 2008.</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lastRenderedPageBreak/>
        <w:t xml:space="preserve">KAMENOV, Z.; FILEVA, S.; KALINOV, K. Evaluation of the efficacy and safety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in male sexual dysfunction—a prospective, randomized, double blinded, placebo-controlled clinical trial. </w:t>
      </w:r>
      <w:proofErr w:type="spellStart"/>
      <w:r w:rsidRPr="000C1180">
        <w:rPr>
          <w:rFonts w:ascii="Arial" w:eastAsia="Arial" w:hAnsi="Arial" w:cs="Arial"/>
          <w:b/>
          <w:sz w:val="24"/>
          <w:szCs w:val="24"/>
          <w:highlight w:val="white"/>
          <w:lang w:val="en-US"/>
        </w:rPr>
        <w:t>Maturitas</w:t>
      </w:r>
      <w:proofErr w:type="spellEnd"/>
      <w:r w:rsidRPr="000C1180">
        <w:rPr>
          <w:rFonts w:ascii="Arial" w:eastAsia="Arial" w:hAnsi="Arial" w:cs="Arial"/>
          <w:sz w:val="24"/>
          <w:szCs w:val="24"/>
          <w:highlight w:val="white"/>
          <w:lang w:val="en-US"/>
        </w:rPr>
        <w:t>, v. 81, n. 1, p. 208, 2017.</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KIRAN, B.; LALITHA, V.; RAVEESHA, K.A. In vitro evaluation of aqueous and solvent extract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 leaf against human bacteria</w:t>
      </w:r>
      <w:r w:rsidRPr="000C1180">
        <w:rPr>
          <w:rFonts w:ascii="Arial" w:eastAsia="Arial" w:hAnsi="Arial" w:cs="Arial"/>
          <w:b/>
          <w:sz w:val="24"/>
          <w:szCs w:val="24"/>
          <w:highlight w:val="white"/>
          <w:lang w:val="en-US"/>
        </w:rPr>
        <w:t xml:space="preserve">. Int J Pharm Tech Res, </w:t>
      </w:r>
      <w:r w:rsidRPr="000C1180">
        <w:rPr>
          <w:rFonts w:ascii="Arial" w:eastAsia="Arial" w:hAnsi="Arial" w:cs="Arial"/>
          <w:sz w:val="24"/>
          <w:szCs w:val="24"/>
          <w:highlight w:val="white"/>
          <w:lang w:val="en-US"/>
        </w:rPr>
        <w:t>v. 3, n. 3, p. 1897–1903, 2011.</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LI, Y. et al. Protection of gross saponins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(GSTT) on cardiac ischemia-reperfusion injury. </w:t>
      </w:r>
      <w:r w:rsidRPr="000C1180">
        <w:rPr>
          <w:rFonts w:ascii="Arial" w:eastAsia="Arial" w:hAnsi="Arial" w:cs="Arial"/>
          <w:b/>
          <w:sz w:val="24"/>
          <w:szCs w:val="24"/>
          <w:highlight w:val="white"/>
          <w:lang w:val="en-US"/>
        </w:rPr>
        <w:t xml:space="preserve">Chin </w:t>
      </w:r>
      <w:proofErr w:type="spellStart"/>
      <w:r w:rsidRPr="000C1180">
        <w:rPr>
          <w:rFonts w:ascii="Arial" w:eastAsia="Arial" w:hAnsi="Arial" w:cs="Arial"/>
          <w:b/>
          <w:sz w:val="24"/>
          <w:szCs w:val="24"/>
          <w:highlight w:val="white"/>
          <w:lang w:val="en-US"/>
        </w:rPr>
        <w:t>Tradit</w:t>
      </w:r>
      <w:proofErr w:type="spellEnd"/>
      <w:r w:rsidRPr="000C1180">
        <w:rPr>
          <w:rFonts w:ascii="Arial" w:eastAsia="Arial" w:hAnsi="Arial" w:cs="Arial"/>
          <w:b/>
          <w:sz w:val="24"/>
          <w:szCs w:val="24"/>
          <w:highlight w:val="white"/>
          <w:lang w:val="en-US"/>
        </w:rPr>
        <w:t xml:space="preserve"> Herbal Dru</w:t>
      </w:r>
      <w:r w:rsidRPr="000C1180">
        <w:rPr>
          <w:rFonts w:ascii="Arial" w:eastAsia="Arial" w:hAnsi="Arial" w:cs="Arial"/>
          <w:sz w:val="24"/>
          <w:szCs w:val="24"/>
          <w:highlight w:val="white"/>
          <w:lang w:val="en-US"/>
        </w:rPr>
        <w:t>gs, v. 41, n. 8, p. 1326–1329, 2010.</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MILASIUS, K.; DADELIENE, R.; SKERNEVICIUS, J. The influence of the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extract on the parameters of the functional </w:t>
      </w:r>
      <w:proofErr w:type="spellStart"/>
      <w:r w:rsidRPr="000C1180">
        <w:rPr>
          <w:rFonts w:ascii="Arial" w:eastAsia="Arial" w:hAnsi="Arial" w:cs="Arial"/>
          <w:sz w:val="24"/>
          <w:szCs w:val="24"/>
          <w:highlight w:val="white"/>
          <w:lang w:val="en-US"/>
        </w:rPr>
        <w:t>preparadness</w:t>
      </w:r>
      <w:proofErr w:type="spellEnd"/>
      <w:r w:rsidRPr="000C1180">
        <w:rPr>
          <w:rFonts w:ascii="Arial" w:eastAsia="Arial" w:hAnsi="Arial" w:cs="Arial"/>
          <w:sz w:val="24"/>
          <w:szCs w:val="24"/>
          <w:highlight w:val="white"/>
          <w:lang w:val="en-US"/>
        </w:rPr>
        <w:t xml:space="preserve"> and </w:t>
      </w:r>
      <w:proofErr w:type="gramStart"/>
      <w:r w:rsidRPr="000C1180">
        <w:rPr>
          <w:rFonts w:ascii="Arial" w:eastAsia="Arial" w:hAnsi="Arial" w:cs="Arial"/>
          <w:sz w:val="24"/>
          <w:szCs w:val="24"/>
          <w:highlight w:val="white"/>
          <w:lang w:val="en-US"/>
        </w:rPr>
        <w:t>athletes</w:t>
      </w:r>
      <w:proofErr w:type="gramEnd"/>
      <w:r w:rsidRPr="000C1180">
        <w:rPr>
          <w:rFonts w:ascii="Arial" w:eastAsia="Arial" w:hAnsi="Arial" w:cs="Arial"/>
          <w:sz w:val="24"/>
          <w:szCs w:val="24"/>
          <w:highlight w:val="white"/>
          <w:lang w:val="en-US"/>
        </w:rPr>
        <w:t xml:space="preserve"> organism </w:t>
      </w:r>
      <w:proofErr w:type="spellStart"/>
      <w:r w:rsidRPr="000C1180">
        <w:rPr>
          <w:rFonts w:ascii="Arial" w:eastAsia="Arial" w:hAnsi="Arial" w:cs="Arial"/>
          <w:sz w:val="24"/>
          <w:szCs w:val="24"/>
          <w:highlight w:val="white"/>
          <w:lang w:val="en-US"/>
        </w:rPr>
        <w:t>homeostase</w:t>
      </w:r>
      <w:proofErr w:type="spellEnd"/>
      <w:r w:rsidRPr="000C1180">
        <w:rPr>
          <w:rFonts w:ascii="Arial" w:eastAsia="Arial" w:hAnsi="Arial" w:cs="Arial"/>
          <w:sz w:val="24"/>
          <w:szCs w:val="24"/>
          <w:highlight w:val="white"/>
          <w:lang w:val="en-US"/>
        </w:rPr>
        <w:t xml:space="preserve">. </w:t>
      </w:r>
      <w:proofErr w:type="spellStart"/>
      <w:r w:rsidRPr="000C1180">
        <w:rPr>
          <w:rFonts w:ascii="Arial" w:eastAsia="Arial" w:hAnsi="Arial" w:cs="Arial"/>
          <w:b/>
          <w:sz w:val="24"/>
          <w:szCs w:val="24"/>
          <w:highlight w:val="white"/>
          <w:lang w:val="en-US"/>
        </w:rPr>
        <w:t>Fiziol</w:t>
      </w:r>
      <w:proofErr w:type="spellEnd"/>
      <w:r w:rsidRPr="000C1180">
        <w:rPr>
          <w:rFonts w:ascii="Arial" w:eastAsia="Arial" w:hAnsi="Arial" w:cs="Arial"/>
          <w:b/>
          <w:sz w:val="24"/>
          <w:szCs w:val="24"/>
          <w:highlight w:val="white"/>
          <w:lang w:val="en-US"/>
        </w:rPr>
        <w:t xml:space="preserve"> </w:t>
      </w:r>
      <w:proofErr w:type="spellStart"/>
      <w:r w:rsidRPr="000C1180">
        <w:rPr>
          <w:rFonts w:ascii="Arial" w:eastAsia="Arial" w:hAnsi="Arial" w:cs="Arial"/>
          <w:b/>
          <w:sz w:val="24"/>
          <w:szCs w:val="24"/>
          <w:highlight w:val="white"/>
          <w:lang w:val="en-US"/>
        </w:rPr>
        <w:t>Zh</w:t>
      </w:r>
      <w:proofErr w:type="spellEnd"/>
      <w:r w:rsidRPr="000C1180">
        <w:rPr>
          <w:rFonts w:ascii="Arial" w:eastAsia="Arial" w:hAnsi="Arial" w:cs="Arial"/>
          <w:sz w:val="24"/>
          <w:szCs w:val="24"/>
          <w:highlight w:val="white"/>
          <w:lang w:val="en-US"/>
        </w:rPr>
        <w:t>, v. 55, n.5, p. 89-96, 2009.</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MOHAMMED, M.S. et al. A review on phytochemical profile and biological </w:t>
      </w:r>
      <w:proofErr w:type="spellStart"/>
      <w:r w:rsidRPr="000C1180">
        <w:rPr>
          <w:rFonts w:ascii="Arial" w:eastAsia="Arial" w:hAnsi="Arial" w:cs="Arial"/>
          <w:sz w:val="24"/>
          <w:szCs w:val="24"/>
          <w:highlight w:val="white"/>
          <w:lang w:val="en-US"/>
        </w:rPr>
        <w:t>activites</w:t>
      </w:r>
      <w:proofErr w:type="spellEnd"/>
      <w:r w:rsidRPr="000C1180">
        <w:rPr>
          <w:rFonts w:ascii="Arial" w:eastAsia="Arial" w:hAnsi="Arial" w:cs="Arial"/>
          <w:sz w:val="24"/>
          <w:szCs w:val="24"/>
          <w:highlight w:val="white"/>
          <w:lang w:val="en-US"/>
        </w:rPr>
        <w:t xml:space="preserve"> of three anti-inflammatory plants used in </w:t>
      </w:r>
      <w:proofErr w:type="spellStart"/>
      <w:r w:rsidRPr="000C1180">
        <w:rPr>
          <w:rFonts w:ascii="Arial" w:eastAsia="Arial" w:hAnsi="Arial" w:cs="Arial"/>
          <w:sz w:val="24"/>
          <w:szCs w:val="24"/>
          <w:highlight w:val="white"/>
          <w:lang w:val="en-US"/>
        </w:rPr>
        <w:t>sudanese</w:t>
      </w:r>
      <w:proofErr w:type="spellEnd"/>
      <w:r w:rsidRPr="000C1180">
        <w:rPr>
          <w:rFonts w:ascii="Arial" w:eastAsia="Arial" w:hAnsi="Arial" w:cs="Arial"/>
          <w:sz w:val="24"/>
          <w:szCs w:val="24"/>
          <w:highlight w:val="white"/>
          <w:lang w:val="en-US"/>
        </w:rPr>
        <w:t xml:space="preserve"> folkloric medicine. </w:t>
      </w:r>
      <w:proofErr w:type="spellStart"/>
      <w:r>
        <w:rPr>
          <w:rFonts w:ascii="Arial" w:eastAsia="Arial" w:hAnsi="Arial" w:cs="Arial"/>
          <w:b/>
          <w:sz w:val="24"/>
          <w:szCs w:val="24"/>
          <w:highlight w:val="white"/>
        </w:rPr>
        <w:t>Am</w:t>
      </w:r>
      <w:proofErr w:type="spellEnd"/>
      <w:r>
        <w:rPr>
          <w:rFonts w:ascii="Arial" w:eastAsia="Arial" w:hAnsi="Arial" w:cs="Arial"/>
          <w:b/>
          <w:sz w:val="24"/>
          <w:szCs w:val="24"/>
          <w:highlight w:val="white"/>
        </w:rPr>
        <w:t xml:space="preserve"> J </w:t>
      </w:r>
      <w:proofErr w:type="spellStart"/>
      <w:r>
        <w:rPr>
          <w:rFonts w:ascii="Arial" w:eastAsia="Arial" w:hAnsi="Arial" w:cs="Arial"/>
          <w:b/>
          <w:sz w:val="24"/>
          <w:szCs w:val="24"/>
          <w:highlight w:val="white"/>
        </w:rPr>
        <w:t>Pharm</w:t>
      </w:r>
      <w:proofErr w:type="spellEnd"/>
      <w:r>
        <w:rPr>
          <w:rFonts w:ascii="Arial" w:eastAsia="Arial" w:hAnsi="Arial" w:cs="Arial"/>
          <w:b/>
          <w:sz w:val="24"/>
          <w:szCs w:val="24"/>
          <w:highlight w:val="white"/>
        </w:rPr>
        <w:t xml:space="preserve"> Tech Res</w:t>
      </w:r>
      <w:r>
        <w:rPr>
          <w:rFonts w:ascii="Arial" w:eastAsia="Arial" w:hAnsi="Arial" w:cs="Arial"/>
          <w:sz w:val="24"/>
          <w:szCs w:val="24"/>
          <w:highlight w:val="white"/>
        </w:rPr>
        <w:t>, v. 4, n. 4, p. 1–14, 2014.</w:t>
      </w:r>
    </w:p>
    <w:p w:rsidR="0045285D" w:rsidRPr="000C1180" w:rsidRDefault="00BA7515">
      <w:pPr>
        <w:spacing w:after="0" w:line="240" w:lineRule="auto"/>
        <w:jc w:val="both"/>
        <w:rPr>
          <w:rFonts w:ascii="Arial" w:eastAsia="Arial" w:hAnsi="Arial" w:cs="Arial"/>
          <w:sz w:val="24"/>
          <w:szCs w:val="24"/>
          <w:highlight w:val="white"/>
          <w:lang w:val="en-US"/>
        </w:rPr>
      </w:pPr>
      <w:r>
        <w:rPr>
          <w:rFonts w:ascii="Arial" w:eastAsia="Arial" w:hAnsi="Arial" w:cs="Arial"/>
          <w:sz w:val="24"/>
          <w:szCs w:val="24"/>
          <w:highlight w:val="white"/>
        </w:rPr>
        <w:t xml:space="preserve">NACIF, M.A.L.; VIEBIG, R.F. </w:t>
      </w:r>
      <w:r>
        <w:rPr>
          <w:rFonts w:ascii="Arial" w:eastAsia="Arial" w:hAnsi="Arial" w:cs="Arial"/>
          <w:b/>
          <w:sz w:val="24"/>
          <w:szCs w:val="24"/>
          <w:highlight w:val="white"/>
        </w:rPr>
        <w:t xml:space="preserve">Avaliação antropométrica no ciclo da vida: </w:t>
      </w:r>
      <w:proofErr w:type="gramStart"/>
      <w:r>
        <w:rPr>
          <w:rFonts w:ascii="Arial" w:eastAsia="Arial" w:hAnsi="Arial" w:cs="Arial"/>
          <w:b/>
          <w:sz w:val="24"/>
          <w:szCs w:val="24"/>
          <w:highlight w:val="white"/>
        </w:rPr>
        <w:t>Um visão prática</w:t>
      </w:r>
      <w:proofErr w:type="gramEnd"/>
      <w:r>
        <w:rPr>
          <w:rFonts w:ascii="Arial" w:eastAsia="Arial" w:hAnsi="Arial" w:cs="Arial"/>
          <w:b/>
          <w:sz w:val="24"/>
          <w:szCs w:val="24"/>
          <w:highlight w:val="white"/>
        </w:rPr>
        <w:t>.</w:t>
      </w:r>
      <w:r>
        <w:rPr>
          <w:rFonts w:ascii="Arial" w:eastAsia="Arial" w:hAnsi="Arial" w:cs="Arial"/>
          <w:sz w:val="24"/>
          <w:szCs w:val="24"/>
          <w:highlight w:val="white"/>
        </w:rPr>
        <w:t xml:space="preserve"> </w:t>
      </w:r>
      <w:r w:rsidRPr="000C1180">
        <w:rPr>
          <w:rFonts w:ascii="Arial" w:eastAsia="Arial" w:hAnsi="Arial" w:cs="Arial"/>
          <w:sz w:val="24"/>
          <w:szCs w:val="24"/>
          <w:highlight w:val="white"/>
          <w:lang w:val="en-US"/>
        </w:rPr>
        <w:t xml:space="preserve">2.ed. São Paulo: </w:t>
      </w:r>
      <w:proofErr w:type="spellStart"/>
      <w:r w:rsidRPr="000C1180">
        <w:rPr>
          <w:rFonts w:ascii="Arial" w:eastAsia="Arial" w:hAnsi="Arial" w:cs="Arial"/>
          <w:sz w:val="24"/>
          <w:szCs w:val="24"/>
          <w:highlight w:val="white"/>
          <w:lang w:val="en-US"/>
        </w:rPr>
        <w:t>Metha</w:t>
      </w:r>
      <w:proofErr w:type="spellEnd"/>
      <w:r w:rsidRPr="000C1180">
        <w:rPr>
          <w:rFonts w:ascii="Arial" w:eastAsia="Arial" w:hAnsi="Arial" w:cs="Arial"/>
          <w:sz w:val="24"/>
          <w:szCs w:val="24"/>
          <w:highlight w:val="white"/>
          <w:lang w:val="en-US"/>
        </w:rPr>
        <w:t>. 184p. 2011.</w:t>
      </w:r>
    </w:p>
    <w:p w:rsidR="0045285D" w:rsidRPr="000C1180" w:rsidRDefault="00BA7515">
      <w:pPr>
        <w:spacing w:before="240" w:after="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NEYCHEV, V.; MITEV, V. Pro-sexual and androgen enhancing effects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 fact or fiction. </w:t>
      </w:r>
      <w:r w:rsidRPr="000C1180">
        <w:rPr>
          <w:rFonts w:ascii="Arial" w:eastAsia="Arial" w:hAnsi="Arial" w:cs="Arial"/>
          <w:b/>
          <w:sz w:val="24"/>
          <w:szCs w:val="24"/>
          <w:highlight w:val="white"/>
          <w:lang w:val="en-US"/>
        </w:rPr>
        <w:t xml:space="preserve">J </w:t>
      </w:r>
      <w:proofErr w:type="spellStart"/>
      <w:r w:rsidRPr="000C1180">
        <w:rPr>
          <w:rFonts w:ascii="Arial" w:eastAsia="Arial" w:hAnsi="Arial" w:cs="Arial"/>
          <w:b/>
          <w:sz w:val="24"/>
          <w:szCs w:val="24"/>
          <w:highlight w:val="white"/>
          <w:lang w:val="en-US"/>
        </w:rPr>
        <w:t>Ethnopharmacol</w:t>
      </w:r>
      <w:proofErr w:type="spellEnd"/>
      <w:r w:rsidRPr="000C1180">
        <w:rPr>
          <w:rFonts w:ascii="Arial" w:eastAsia="Arial" w:hAnsi="Arial" w:cs="Arial"/>
          <w:sz w:val="24"/>
          <w:szCs w:val="24"/>
          <w:highlight w:val="white"/>
          <w:lang w:val="en-US"/>
        </w:rPr>
        <w:t>, v. 179, p. 345–355, 2016.</w:t>
      </w:r>
    </w:p>
    <w:p w:rsidR="0045285D" w:rsidRPr="000C1180" w:rsidRDefault="00BA7515">
      <w:pPr>
        <w:spacing w:before="240" w:after="240" w:line="240" w:lineRule="auto"/>
        <w:jc w:val="both"/>
        <w:rPr>
          <w:rFonts w:ascii="Arial" w:eastAsia="Arial" w:hAnsi="Arial" w:cs="Arial"/>
          <w:sz w:val="24"/>
          <w:szCs w:val="24"/>
          <w:highlight w:val="yellow"/>
          <w:lang w:val="en-US"/>
        </w:rPr>
      </w:pPr>
      <w:r w:rsidRPr="000C1180">
        <w:rPr>
          <w:rFonts w:ascii="Arial" w:eastAsia="Arial" w:hAnsi="Arial" w:cs="Arial"/>
          <w:sz w:val="24"/>
          <w:szCs w:val="24"/>
          <w:highlight w:val="white"/>
          <w:lang w:val="en-US"/>
        </w:rPr>
        <w:t xml:space="preserve">NEYCHEV, V.; MITEV, V. The aphrodisiac herb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does not influence the androgen production in young men. </w:t>
      </w:r>
      <w:r w:rsidRPr="000C1180">
        <w:rPr>
          <w:rFonts w:ascii="Arial" w:eastAsia="Arial" w:hAnsi="Arial" w:cs="Arial"/>
          <w:b/>
          <w:sz w:val="24"/>
          <w:szCs w:val="24"/>
          <w:highlight w:val="white"/>
          <w:lang w:val="en-US"/>
        </w:rPr>
        <w:t>Journal of Ethnopharmacology,</w:t>
      </w:r>
      <w:r w:rsidRPr="000C1180">
        <w:rPr>
          <w:rFonts w:ascii="Arial" w:eastAsia="Arial" w:hAnsi="Arial" w:cs="Arial"/>
          <w:sz w:val="24"/>
          <w:szCs w:val="24"/>
          <w:highlight w:val="white"/>
          <w:lang w:val="en-US"/>
        </w:rPr>
        <w:t xml:space="preserve"> v. 101, n. 1-3, p. 319-23, 2005.</w:t>
      </w:r>
    </w:p>
    <w:p w:rsidR="0045285D" w:rsidRPr="000C1180" w:rsidRDefault="00BA7515">
      <w:pPr>
        <w:spacing w:after="0" w:line="240" w:lineRule="auto"/>
        <w:jc w:val="both"/>
        <w:rPr>
          <w:rFonts w:ascii="Arial" w:eastAsia="Arial" w:hAnsi="Arial" w:cs="Arial"/>
          <w:sz w:val="24"/>
          <w:szCs w:val="24"/>
          <w:lang w:val="en-US"/>
        </w:rPr>
      </w:pPr>
      <w:r w:rsidRPr="000C1180">
        <w:rPr>
          <w:rFonts w:ascii="Arial" w:eastAsia="Arial" w:hAnsi="Arial" w:cs="Arial"/>
          <w:sz w:val="24"/>
          <w:szCs w:val="24"/>
          <w:lang w:val="en-US"/>
        </w:rPr>
        <w:t xml:space="preserve">PINGITORE, A. et al. </w:t>
      </w:r>
      <w:hyperlink r:id="rId10">
        <w:r w:rsidRPr="000C1180">
          <w:rPr>
            <w:rFonts w:ascii="Arial" w:eastAsia="Arial" w:hAnsi="Arial" w:cs="Arial"/>
            <w:sz w:val="24"/>
            <w:szCs w:val="24"/>
            <w:lang w:val="en-US"/>
          </w:rPr>
          <w:t>Exercise and oxidative stress: Potential effects of antioxidant dietary strategies in sports.</w:t>
        </w:r>
      </w:hyperlink>
      <w:hyperlink r:id="rId11">
        <w:r w:rsidRPr="000C1180">
          <w:rPr>
            <w:rFonts w:ascii="Arial" w:eastAsia="Arial" w:hAnsi="Arial" w:cs="Arial"/>
            <w:b/>
            <w:sz w:val="24"/>
            <w:szCs w:val="24"/>
            <w:lang w:val="en-US"/>
          </w:rPr>
          <w:t xml:space="preserve"> Nutrition</w:t>
        </w:r>
      </w:hyperlink>
      <w:hyperlink r:id="rId12">
        <w:r w:rsidRPr="000C1180">
          <w:rPr>
            <w:rFonts w:ascii="Arial" w:eastAsia="Arial" w:hAnsi="Arial" w:cs="Arial"/>
            <w:sz w:val="24"/>
            <w:szCs w:val="24"/>
            <w:lang w:val="en-US"/>
          </w:rPr>
          <w:t>, v. 31, n. 7-8, p.916-922,</w:t>
        </w:r>
      </w:hyperlink>
      <w:r w:rsidRPr="000C1180">
        <w:rPr>
          <w:rFonts w:ascii="Arial" w:eastAsia="Arial" w:hAnsi="Arial" w:cs="Arial"/>
          <w:sz w:val="24"/>
          <w:szCs w:val="24"/>
          <w:lang w:val="en-US"/>
        </w:rPr>
        <w:t xml:space="preserve"> 2015.</w:t>
      </w:r>
    </w:p>
    <w:p w:rsidR="0045285D" w:rsidRPr="000C1180" w:rsidRDefault="00BA7515">
      <w:pPr>
        <w:spacing w:before="240" w:after="0" w:line="240" w:lineRule="auto"/>
        <w:jc w:val="both"/>
        <w:rPr>
          <w:rFonts w:ascii="Arial" w:eastAsia="Arial" w:hAnsi="Arial" w:cs="Arial"/>
          <w:sz w:val="24"/>
          <w:szCs w:val="24"/>
          <w:highlight w:val="white"/>
          <w:lang w:val="en-US"/>
        </w:rPr>
      </w:pPr>
      <w:r w:rsidRPr="000C1180">
        <w:rPr>
          <w:rFonts w:ascii="Arial" w:eastAsia="Arial" w:hAnsi="Arial" w:cs="Arial"/>
          <w:sz w:val="24"/>
          <w:szCs w:val="24"/>
          <w:lang w:val="en-US"/>
        </w:rPr>
        <w:t xml:space="preserve">POSTIGO, S. et al. Assessment of the effects of Tribulus </w:t>
      </w:r>
      <w:proofErr w:type="spellStart"/>
      <w:r w:rsidRPr="000C1180">
        <w:rPr>
          <w:rFonts w:ascii="Arial" w:eastAsia="Arial" w:hAnsi="Arial" w:cs="Arial"/>
          <w:sz w:val="24"/>
          <w:szCs w:val="24"/>
          <w:lang w:val="en-US"/>
        </w:rPr>
        <w:t>terrestris</w:t>
      </w:r>
      <w:proofErr w:type="spellEnd"/>
      <w:r w:rsidRPr="000C1180">
        <w:rPr>
          <w:rFonts w:ascii="Arial" w:eastAsia="Arial" w:hAnsi="Arial" w:cs="Arial"/>
          <w:sz w:val="24"/>
          <w:szCs w:val="24"/>
          <w:lang w:val="en-US"/>
        </w:rPr>
        <w:t xml:space="preserve"> on s</w:t>
      </w:r>
      <w:r w:rsidRPr="000C1180">
        <w:rPr>
          <w:rFonts w:ascii="Arial" w:eastAsia="Arial" w:hAnsi="Arial" w:cs="Arial"/>
          <w:sz w:val="24"/>
          <w:szCs w:val="24"/>
          <w:highlight w:val="white"/>
          <w:lang w:val="en-US"/>
        </w:rPr>
        <w:t xml:space="preserve">exual function of menopausal women. </w:t>
      </w:r>
      <w:r w:rsidRPr="000C1180">
        <w:rPr>
          <w:rFonts w:ascii="Arial" w:eastAsia="Arial" w:hAnsi="Arial" w:cs="Arial"/>
          <w:b/>
          <w:sz w:val="24"/>
          <w:szCs w:val="24"/>
          <w:highlight w:val="white"/>
          <w:lang w:val="en-US"/>
        </w:rPr>
        <w:t xml:space="preserve">Rev Bras </w:t>
      </w:r>
      <w:proofErr w:type="spellStart"/>
      <w:r w:rsidRPr="000C1180">
        <w:rPr>
          <w:rFonts w:ascii="Arial" w:eastAsia="Arial" w:hAnsi="Arial" w:cs="Arial"/>
          <w:b/>
          <w:sz w:val="24"/>
          <w:szCs w:val="24"/>
          <w:highlight w:val="white"/>
          <w:lang w:val="en-US"/>
        </w:rPr>
        <w:t>Ginecol</w:t>
      </w:r>
      <w:proofErr w:type="spellEnd"/>
      <w:r w:rsidRPr="000C1180">
        <w:rPr>
          <w:rFonts w:ascii="Arial" w:eastAsia="Arial" w:hAnsi="Arial" w:cs="Arial"/>
          <w:b/>
          <w:sz w:val="24"/>
          <w:szCs w:val="24"/>
          <w:highlight w:val="white"/>
          <w:lang w:val="en-US"/>
        </w:rPr>
        <w:t xml:space="preserve"> </w:t>
      </w:r>
      <w:proofErr w:type="spellStart"/>
      <w:r w:rsidRPr="000C1180">
        <w:rPr>
          <w:rFonts w:ascii="Arial" w:eastAsia="Arial" w:hAnsi="Arial" w:cs="Arial"/>
          <w:b/>
          <w:sz w:val="24"/>
          <w:szCs w:val="24"/>
          <w:highlight w:val="white"/>
          <w:lang w:val="en-US"/>
        </w:rPr>
        <w:t>Obstet</w:t>
      </w:r>
      <w:proofErr w:type="spellEnd"/>
      <w:r w:rsidRPr="000C1180">
        <w:rPr>
          <w:rFonts w:ascii="Arial" w:eastAsia="Arial" w:hAnsi="Arial" w:cs="Arial"/>
          <w:sz w:val="24"/>
          <w:szCs w:val="24"/>
          <w:highlight w:val="white"/>
          <w:lang w:val="en-US"/>
        </w:rPr>
        <w:t>, v.38, n. 3, p. 140–146, 2016.</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PRABHU, N. Effect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on learning and memory in </w:t>
      </w:r>
      <w:proofErr w:type="spellStart"/>
      <w:r w:rsidRPr="000C1180">
        <w:rPr>
          <w:rFonts w:ascii="Arial" w:eastAsia="Arial" w:hAnsi="Arial" w:cs="Arial"/>
          <w:sz w:val="24"/>
          <w:szCs w:val="24"/>
          <w:highlight w:val="white"/>
          <w:lang w:val="en-US"/>
        </w:rPr>
        <w:t>wistar</w:t>
      </w:r>
      <w:proofErr w:type="spellEnd"/>
      <w:r w:rsidRPr="000C1180">
        <w:rPr>
          <w:rFonts w:ascii="Arial" w:eastAsia="Arial" w:hAnsi="Arial" w:cs="Arial"/>
          <w:sz w:val="24"/>
          <w:szCs w:val="24"/>
          <w:highlight w:val="white"/>
          <w:lang w:val="en-US"/>
        </w:rPr>
        <w:t xml:space="preserve"> rats</w:t>
      </w:r>
      <w:r w:rsidRPr="000C1180">
        <w:rPr>
          <w:rFonts w:ascii="Arial" w:eastAsia="Arial" w:hAnsi="Arial" w:cs="Arial"/>
          <w:b/>
          <w:sz w:val="24"/>
          <w:szCs w:val="24"/>
          <w:highlight w:val="white"/>
          <w:lang w:val="en-US"/>
        </w:rPr>
        <w:t xml:space="preserve">. </w:t>
      </w:r>
      <w:proofErr w:type="spellStart"/>
      <w:r w:rsidRPr="000C1180">
        <w:rPr>
          <w:rFonts w:ascii="Arial" w:eastAsia="Arial" w:hAnsi="Arial" w:cs="Arial"/>
          <w:b/>
          <w:sz w:val="24"/>
          <w:szCs w:val="24"/>
          <w:highlight w:val="white"/>
          <w:lang w:val="en-US"/>
        </w:rPr>
        <w:t>Phcog</w:t>
      </w:r>
      <w:proofErr w:type="spellEnd"/>
      <w:r w:rsidRPr="000C1180">
        <w:rPr>
          <w:rFonts w:ascii="Arial" w:eastAsia="Arial" w:hAnsi="Arial" w:cs="Arial"/>
          <w:b/>
          <w:sz w:val="24"/>
          <w:szCs w:val="24"/>
          <w:highlight w:val="white"/>
          <w:lang w:val="en-US"/>
        </w:rPr>
        <w:t xml:space="preserve"> </w:t>
      </w:r>
      <w:r w:rsidRPr="000C1180">
        <w:rPr>
          <w:rFonts w:ascii="Arial" w:eastAsia="Arial" w:hAnsi="Arial" w:cs="Arial"/>
          <w:sz w:val="24"/>
          <w:szCs w:val="24"/>
          <w:highlight w:val="white"/>
          <w:lang w:val="en-US"/>
        </w:rPr>
        <w:t>J, v. 6, n. 4, p. 68–71, 2014.</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QURESHI, A.; NAUGHTON, D.P.; PETROCZI, A.  </w:t>
      </w:r>
      <w:hyperlink r:id="rId13">
        <w:r w:rsidRPr="000C1180">
          <w:rPr>
            <w:rFonts w:ascii="Arial" w:eastAsia="Arial" w:hAnsi="Arial" w:cs="Arial"/>
            <w:sz w:val="24"/>
            <w:szCs w:val="24"/>
            <w:shd w:val="clear" w:color="auto" w:fill="F9F8F7"/>
            <w:lang w:val="en-US"/>
          </w:rPr>
          <w:t xml:space="preserve">A systematic review on the herbal extract </w:t>
        </w:r>
      </w:hyperlink>
      <w:hyperlink r:id="rId14">
        <w:r w:rsidRPr="000C1180">
          <w:rPr>
            <w:rFonts w:ascii="Arial" w:eastAsia="Arial" w:hAnsi="Arial" w:cs="Arial"/>
            <w:i/>
            <w:sz w:val="24"/>
            <w:szCs w:val="24"/>
            <w:shd w:val="clear" w:color="auto" w:fill="F9F8F7"/>
            <w:lang w:val="en-US"/>
          </w:rPr>
          <w:t xml:space="preserve">Tribulus </w:t>
        </w:r>
        <w:proofErr w:type="spellStart"/>
        <w:r w:rsidRPr="000C1180">
          <w:rPr>
            <w:rFonts w:ascii="Arial" w:eastAsia="Arial" w:hAnsi="Arial" w:cs="Arial"/>
            <w:i/>
            <w:sz w:val="24"/>
            <w:szCs w:val="24"/>
            <w:shd w:val="clear" w:color="auto" w:fill="F9F8F7"/>
            <w:lang w:val="en-US"/>
          </w:rPr>
          <w:t>terrestris</w:t>
        </w:r>
        <w:proofErr w:type="spellEnd"/>
      </w:hyperlink>
      <w:hyperlink r:id="rId15">
        <w:r w:rsidRPr="000C1180">
          <w:rPr>
            <w:rFonts w:ascii="Arial" w:eastAsia="Arial" w:hAnsi="Arial" w:cs="Arial"/>
            <w:sz w:val="24"/>
            <w:szCs w:val="24"/>
            <w:shd w:val="clear" w:color="auto" w:fill="F9F8F7"/>
            <w:lang w:val="en-US"/>
          </w:rPr>
          <w:t xml:space="preserve"> and the roots of its putative aphrodisiac and performance enhancing effect.</w:t>
        </w:r>
      </w:hyperlink>
      <w:hyperlink r:id="rId16">
        <w:r w:rsidRPr="000C1180">
          <w:rPr>
            <w:rFonts w:ascii="Arial" w:eastAsia="Arial" w:hAnsi="Arial" w:cs="Arial"/>
            <w:b/>
            <w:sz w:val="24"/>
            <w:szCs w:val="24"/>
            <w:shd w:val="clear" w:color="auto" w:fill="F9F8F7"/>
            <w:lang w:val="en-US"/>
          </w:rPr>
          <w:t xml:space="preserve"> </w:t>
        </w:r>
        <w:r>
          <w:rPr>
            <w:rFonts w:ascii="Arial" w:eastAsia="Arial" w:hAnsi="Arial" w:cs="Arial"/>
            <w:b/>
            <w:sz w:val="24"/>
            <w:szCs w:val="24"/>
            <w:shd w:val="clear" w:color="auto" w:fill="F9F8F7"/>
          </w:rPr>
          <w:t xml:space="preserve">J Diet </w:t>
        </w:r>
        <w:proofErr w:type="spellStart"/>
        <w:r>
          <w:rPr>
            <w:rFonts w:ascii="Arial" w:eastAsia="Arial" w:hAnsi="Arial" w:cs="Arial"/>
            <w:b/>
            <w:sz w:val="24"/>
            <w:szCs w:val="24"/>
            <w:shd w:val="clear" w:color="auto" w:fill="F9F8F7"/>
          </w:rPr>
          <w:t>Suppl</w:t>
        </w:r>
        <w:proofErr w:type="spellEnd"/>
        <w:r>
          <w:rPr>
            <w:rFonts w:ascii="Arial" w:eastAsia="Arial" w:hAnsi="Arial" w:cs="Arial"/>
            <w:b/>
            <w:sz w:val="24"/>
            <w:szCs w:val="24"/>
            <w:shd w:val="clear" w:color="auto" w:fill="F9F8F7"/>
          </w:rPr>
          <w:t>.</w:t>
        </w:r>
      </w:hyperlink>
      <w:hyperlink r:id="rId17">
        <w:r>
          <w:rPr>
            <w:rFonts w:ascii="Arial" w:eastAsia="Arial" w:hAnsi="Arial" w:cs="Arial"/>
            <w:sz w:val="24"/>
            <w:szCs w:val="24"/>
            <w:shd w:val="clear" w:color="auto" w:fill="F9F8F7"/>
          </w:rPr>
          <w:t>, v. 11, n.1, p.64-79,</w:t>
        </w:r>
      </w:hyperlink>
      <w:r>
        <w:rPr>
          <w:rFonts w:ascii="Arial" w:eastAsia="Arial" w:hAnsi="Arial" w:cs="Arial"/>
          <w:sz w:val="24"/>
          <w:szCs w:val="24"/>
          <w:highlight w:val="white"/>
        </w:rPr>
        <w:t xml:space="preserve"> 2014.</w:t>
      </w:r>
    </w:p>
    <w:p w:rsidR="0045285D" w:rsidRDefault="00BA7515">
      <w:pPr>
        <w:spacing w:line="240" w:lineRule="auto"/>
        <w:jc w:val="both"/>
        <w:rPr>
          <w:rFonts w:ascii="Arial" w:eastAsia="Arial" w:hAnsi="Arial" w:cs="Arial"/>
          <w:sz w:val="24"/>
          <w:szCs w:val="24"/>
          <w:highlight w:val="white"/>
        </w:rPr>
      </w:pPr>
      <w:r>
        <w:rPr>
          <w:rFonts w:ascii="Arial" w:eastAsia="Arial" w:hAnsi="Arial" w:cs="Arial"/>
          <w:sz w:val="24"/>
          <w:szCs w:val="24"/>
          <w:highlight w:val="white"/>
        </w:rPr>
        <w:t xml:space="preserve">REZENDE, F. et al. Revisão crítica dos métodos disponíveis para avaliar a composição corporal em grandes estudos populacionais e clínicos. </w:t>
      </w:r>
      <w:proofErr w:type="spellStart"/>
      <w:r>
        <w:rPr>
          <w:rFonts w:ascii="Arial" w:eastAsia="Arial" w:hAnsi="Arial" w:cs="Arial"/>
          <w:b/>
          <w:sz w:val="24"/>
          <w:szCs w:val="24"/>
          <w:highlight w:val="white"/>
        </w:rPr>
        <w:t>Arch</w:t>
      </w:r>
      <w:proofErr w:type="spellEnd"/>
      <w:r>
        <w:rPr>
          <w:rFonts w:ascii="Arial" w:eastAsia="Arial" w:hAnsi="Arial" w:cs="Arial"/>
          <w:b/>
          <w:sz w:val="24"/>
          <w:szCs w:val="24"/>
          <w:highlight w:val="white"/>
        </w:rPr>
        <w:t xml:space="preserve"> </w:t>
      </w:r>
      <w:proofErr w:type="spellStart"/>
      <w:r>
        <w:rPr>
          <w:rFonts w:ascii="Arial" w:eastAsia="Arial" w:hAnsi="Arial" w:cs="Arial"/>
          <w:b/>
          <w:sz w:val="24"/>
          <w:szCs w:val="24"/>
          <w:highlight w:val="white"/>
        </w:rPr>
        <w:t>Latinoam</w:t>
      </w:r>
      <w:proofErr w:type="spellEnd"/>
      <w:r>
        <w:rPr>
          <w:rFonts w:ascii="Arial" w:eastAsia="Arial" w:hAnsi="Arial" w:cs="Arial"/>
          <w:b/>
          <w:sz w:val="24"/>
          <w:szCs w:val="24"/>
          <w:highlight w:val="white"/>
        </w:rPr>
        <w:t xml:space="preserve"> Nutr</w:t>
      </w:r>
      <w:r>
        <w:rPr>
          <w:rFonts w:ascii="Arial" w:eastAsia="Arial" w:hAnsi="Arial" w:cs="Arial"/>
          <w:sz w:val="24"/>
          <w:szCs w:val="24"/>
          <w:highlight w:val="white"/>
        </w:rPr>
        <w:t xml:space="preserve">., v. 57, n. 4, p. 327-34, 2007. </w:t>
      </w:r>
    </w:p>
    <w:p w:rsidR="0045285D" w:rsidRPr="000C1180" w:rsidRDefault="00BA7515">
      <w:pPr>
        <w:spacing w:line="240" w:lineRule="auto"/>
        <w:jc w:val="both"/>
        <w:rPr>
          <w:rFonts w:ascii="Arial" w:eastAsia="Arial" w:hAnsi="Arial" w:cs="Arial"/>
          <w:sz w:val="24"/>
          <w:szCs w:val="24"/>
          <w:highlight w:val="yellow"/>
          <w:lang w:val="en-US"/>
        </w:rPr>
      </w:pPr>
      <w:r>
        <w:rPr>
          <w:rFonts w:ascii="Arial" w:eastAsia="Arial" w:hAnsi="Arial" w:cs="Arial"/>
          <w:sz w:val="24"/>
          <w:szCs w:val="24"/>
        </w:rPr>
        <w:t xml:space="preserve">RODRIGUES, M.N. et al. Estimativa da gordura corporal através de equipamentos de bioimpedância, dobras cutâneas e pesagem hidrostática. </w:t>
      </w:r>
      <w:r w:rsidRPr="000C1180">
        <w:rPr>
          <w:rFonts w:ascii="Arial" w:eastAsia="Arial" w:hAnsi="Arial" w:cs="Arial"/>
          <w:b/>
          <w:sz w:val="24"/>
          <w:szCs w:val="24"/>
          <w:lang w:val="en-US"/>
        </w:rPr>
        <w:t xml:space="preserve">Rev Bras Med </w:t>
      </w:r>
      <w:proofErr w:type="spellStart"/>
      <w:r w:rsidRPr="000C1180">
        <w:rPr>
          <w:rFonts w:ascii="Arial" w:eastAsia="Arial" w:hAnsi="Arial" w:cs="Arial"/>
          <w:b/>
          <w:sz w:val="24"/>
          <w:szCs w:val="24"/>
          <w:lang w:val="en-US"/>
        </w:rPr>
        <w:t>Esporte</w:t>
      </w:r>
      <w:proofErr w:type="spellEnd"/>
      <w:r w:rsidRPr="000C1180">
        <w:rPr>
          <w:rFonts w:ascii="Arial" w:eastAsia="Arial" w:hAnsi="Arial" w:cs="Arial"/>
          <w:sz w:val="24"/>
          <w:szCs w:val="24"/>
          <w:lang w:val="en-US"/>
        </w:rPr>
        <w:t>, v. 7, n. 4, p. 125-131, 2001.</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lastRenderedPageBreak/>
        <w:t xml:space="preserve">ROGERSON, S. et al. The Effect of Five Weeks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Supplementation on Muscle Strength and Body Composition During Preseason Training in Elite Rugby League Players. </w:t>
      </w:r>
      <w:r w:rsidRPr="000C1180">
        <w:rPr>
          <w:rFonts w:ascii="Arial" w:eastAsia="Arial" w:hAnsi="Arial" w:cs="Arial"/>
          <w:b/>
          <w:sz w:val="24"/>
          <w:szCs w:val="24"/>
          <w:highlight w:val="white"/>
          <w:lang w:val="en-US"/>
        </w:rPr>
        <w:t>Journal of Strength and Conditioning Research</w:t>
      </w:r>
      <w:r w:rsidRPr="000C1180">
        <w:rPr>
          <w:rFonts w:ascii="Arial" w:eastAsia="Arial" w:hAnsi="Arial" w:cs="Arial"/>
          <w:sz w:val="24"/>
          <w:szCs w:val="24"/>
          <w:highlight w:val="white"/>
          <w:lang w:val="en-US"/>
        </w:rPr>
        <w:t>, v. 21, n. 2, p. 348–353, 2007.</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SAMANI, N.B. et al. Efficacy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extract on the serum glucose and lipids of women with diabetes mellitus. </w:t>
      </w:r>
      <w:r w:rsidRPr="000C1180">
        <w:rPr>
          <w:rFonts w:ascii="Arial" w:eastAsia="Arial" w:hAnsi="Arial" w:cs="Arial"/>
          <w:b/>
          <w:sz w:val="24"/>
          <w:szCs w:val="24"/>
          <w:highlight w:val="white"/>
          <w:lang w:val="en-US"/>
        </w:rPr>
        <w:t>Iran J Pharm Sci</w:t>
      </w:r>
      <w:r w:rsidRPr="000C1180">
        <w:rPr>
          <w:rFonts w:ascii="Arial" w:eastAsia="Arial" w:hAnsi="Arial" w:cs="Arial"/>
          <w:sz w:val="24"/>
          <w:szCs w:val="24"/>
          <w:highlight w:val="white"/>
          <w:lang w:val="en-US"/>
        </w:rPr>
        <w:t>, v. 41, n. 3, S5, 2006.</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SHANG, Z.J. </w:t>
      </w:r>
      <w:r w:rsidRPr="000C1180">
        <w:rPr>
          <w:rFonts w:ascii="Arial" w:eastAsia="Arial" w:hAnsi="Arial" w:cs="Arial"/>
          <w:b/>
          <w:sz w:val="24"/>
          <w:szCs w:val="24"/>
          <w:highlight w:val="white"/>
          <w:lang w:val="en-US"/>
        </w:rPr>
        <w:t xml:space="preserve">Annotation of Shen </w:t>
      </w:r>
      <w:proofErr w:type="spellStart"/>
      <w:r w:rsidRPr="000C1180">
        <w:rPr>
          <w:rFonts w:ascii="Arial" w:eastAsia="Arial" w:hAnsi="Arial" w:cs="Arial"/>
          <w:b/>
          <w:sz w:val="24"/>
          <w:szCs w:val="24"/>
          <w:highlight w:val="white"/>
          <w:lang w:val="en-US"/>
        </w:rPr>
        <w:t>Nong</w:t>
      </w:r>
      <w:proofErr w:type="spellEnd"/>
      <w:r w:rsidRPr="000C1180">
        <w:rPr>
          <w:rFonts w:ascii="Arial" w:eastAsia="Arial" w:hAnsi="Arial" w:cs="Arial"/>
          <w:b/>
          <w:sz w:val="24"/>
          <w:szCs w:val="24"/>
          <w:highlight w:val="white"/>
          <w:lang w:val="en-US"/>
        </w:rPr>
        <w:t xml:space="preserve"> Ben </w:t>
      </w:r>
      <w:proofErr w:type="spellStart"/>
      <w:r w:rsidRPr="000C1180">
        <w:rPr>
          <w:rFonts w:ascii="Arial" w:eastAsia="Arial" w:hAnsi="Arial" w:cs="Arial"/>
          <w:b/>
          <w:sz w:val="24"/>
          <w:szCs w:val="24"/>
          <w:highlight w:val="white"/>
          <w:lang w:val="en-US"/>
        </w:rPr>
        <w:t>CaoJ</w:t>
      </w:r>
      <w:proofErr w:type="spellEnd"/>
      <w:r w:rsidRPr="000C1180">
        <w:rPr>
          <w:rFonts w:ascii="Arial" w:eastAsia="Arial" w:hAnsi="Arial" w:cs="Arial"/>
          <w:b/>
          <w:sz w:val="24"/>
          <w:szCs w:val="24"/>
          <w:highlight w:val="white"/>
          <w:lang w:val="en-US"/>
        </w:rPr>
        <w:t xml:space="preserve"> </w:t>
      </w:r>
      <w:proofErr w:type="spellStart"/>
      <w:r w:rsidRPr="000C1180">
        <w:rPr>
          <w:rFonts w:ascii="Arial" w:eastAsia="Arial" w:hAnsi="Arial" w:cs="Arial"/>
          <w:b/>
          <w:sz w:val="24"/>
          <w:szCs w:val="24"/>
          <w:highlight w:val="white"/>
          <w:lang w:val="en-US"/>
        </w:rPr>
        <w:t>ing</w:t>
      </w:r>
      <w:proofErr w:type="spellEnd"/>
      <w:r w:rsidRPr="000C1180">
        <w:rPr>
          <w:rFonts w:ascii="Arial" w:eastAsia="Arial" w:hAnsi="Arial" w:cs="Arial"/>
          <w:sz w:val="24"/>
          <w:szCs w:val="24"/>
          <w:highlight w:val="white"/>
          <w:lang w:val="en-US"/>
        </w:rPr>
        <w:t>. Academy Press: Beijing, p. 65, 2008.</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SISTO, M. et al. Saponins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L. protect human keratinocytes from UVB-induced damage. </w:t>
      </w:r>
      <w:r w:rsidRPr="000C1180">
        <w:rPr>
          <w:rFonts w:ascii="Arial" w:eastAsia="Arial" w:hAnsi="Arial" w:cs="Arial"/>
          <w:b/>
          <w:sz w:val="24"/>
          <w:szCs w:val="24"/>
          <w:highlight w:val="white"/>
          <w:lang w:val="en-US"/>
        </w:rPr>
        <w:t xml:space="preserve">J </w:t>
      </w:r>
      <w:proofErr w:type="spellStart"/>
      <w:r w:rsidRPr="000C1180">
        <w:rPr>
          <w:rFonts w:ascii="Arial" w:eastAsia="Arial" w:hAnsi="Arial" w:cs="Arial"/>
          <w:b/>
          <w:sz w:val="24"/>
          <w:szCs w:val="24"/>
          <w:highlight w:val="white"/>
          <w:lang w:val="en-US"/>
        </w:rPr>
        <w:t>Photochem</w:t>
      </w:r>
      <w:proofErr w:type="spellEnd"/>
      <w:r w:rsidRPr="000C1180">
        <w:rPr>
          <w:rFonts w:ascii="Arial" w:eastAsia="Arial" w:hAnsi="Arial" w:cs="Arial"/>
          <w:b/>
          <w:sz w:val="24"/>
          <w:szCs w:val="24"/>
          <w:highlight w:val="white"/>
          <w:lang w:val="en-US"/>
        </w:rPr>
        <w:t xml:space="preserve"> </w:t>
      </w:r>
      <w:proofErr w:type="spellStart"/>
      <w:r w:rsidRPr="000C1180">
        <w:rPr>
          <w:rFonts w:ascii="Arial" w:eastAsia="Arial" w:hAnsi="Arial" w:cs="Arial"/>
          <w:b/>
          <w:sz w:val="24"/>
          <w:szCs w:val="24"/>
          <w:highlight w:val="white"/>
          <w:lang w:val="en-US"/>
        </w:rPr>
        <w:t>Photobiol</w:t>
      </w:r>
      <w:proofErr w:type="spellEnd"/>
      <w:r w:rsidRPr="000C1180">
        <w:rPr>
          <w:rFonts w:ascii="Arial" w:eastAsia="Arial" w:hAnsi="Arial" w:cs="Arial"/>
          <w:b/>
          <w:sz w:val="24"/>
          <w:szCs w:val="24"/>
          <w:highlight w:val="white"/>
          <w:lang w:val="en-US"/>
        </w:rPr>
        <w:t xml:space="preserve"> B</w:t>
      </w:r>
      <w:r w:rsidRPr="000C1180">
        <w:rPr>
          <w:rFonts w:ascii="Arial" w:eastAsia="Arial" w:hAnsi="Arial" w:cs="Arial"/>
          <w:sz w:val="24"/>
          <w:szCs w:val="24"/>
          <w:highlight w:val="white"/>
          <w:lang w:val="en-US"/>
        </w:rPr>
        <w:t>, v. 177, p. 193–201, 2012.</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SOUZA, K.Z.D.; VALE F.B.C.; GEBER, S. Efficacy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for the treatment of hypoactive sexual desire disorder in postmenopausal women: a randomized, double-blinded, placebo-controlled trial. </w:t>
      </w:r>
      <w:proofErr w:type="spellStart"/>
      <w:r>
        <w:rPr>
          <w:rFonts w:ascii="Arial" w:eastAsia="Arial" w:hAnsi="Arial" w:cs="Arial"/>
          <w:b/>
          <w:sz w:val="24"/>
          <w:szCs w:val="24"/>
          <w:highlight w:val="white"/>
        </w:rPr>
        <w:t>Menopause</w:t>
      </w:r>
      <w:proofErr w:type="spellEnd"/>
      <w:r>
        <w:rPr>
          <w:rFonts w:ascii="Arial" w:eastAsia="Arial" w:hAnsi="Arial" w:cs="Arial"/>
          <w:sz w:val="24"/>
          <w:szCs w:val="24"/>
          <w:highlight w:val="white"/>
        </w:rPr>
        <w:t>, v. 23, n. 11, p. 1252–1256, 2016.</w:t>
      </w:r>
    </w:p>
    <w:p w:rsidR="0045285D" w:rsidRDefault="00BA7515">
      <w:pPr>
        <w:spacing w:after="0" w:line="240" w:lineRule="auto"/>
        <w:jc w:val="both"/>
        <w:rPr>
          <w:rFonts w:ascii="Arial" w:eastAsia="Arial" w:hAnsi="Arial" w:cs="Arial"/>
          <w:sz w:val="24"/>
          <w:szCs w:val="24"/>
          <w:highlight w:val="white"/>
        </w:rPr>
      </w:pPr>
      <w:r>
        <w:rPr>
          <w:rFonts w:ascii="Arial" w:eastAsia="Arial" w:hAnsi="Arial" w:cs="Arial"/>
          <w:sz w:val="24"/>
          <w:szCs w:val="24"/>
        </w:rPr>
        <w:t xml:space="preserve">SOUZA, T.M.F. </w:t>
      </w:r>
      <w:r>
        <w:rPr>
          <w:rFonts w:ascii="Arial" w:eastAsia="Arial" w:hAnsi="Arial" w:cs="Arial"/>
          <w:b/>
          <w:sz w:val="24"/>
          <w:szCs w:val="24"/>
        </w:rPr>
        <w:t>Avaliação dos Efeitos do Treinamento de Resistência Muscular Localizada no Limiar Ventilatório de Mulheres. Dissertação de Mestrado.</w:t>
      </w:r>
      <w:r>
        <w:rPr>
          <w:rFonts w:ascii="Arial" w:eastAsia="Arial" w:hAnsi="Arial" w:cs="Arial"/>
          <w:sz w:val="24"/>
          <w:szCs w:val="24"/>
        </w:rPr>
        <w:t xml:space="preserve"> UNIMEP-SP. Piracicaba. 2007.</w:t>
      </w:r>
    </w:p>
    <w:p w:rsidR="0045285D" w:rsidRDefault="0045285D">
      <w:pPr>
        <w:spacing w:after="0" w:line="240" w:lineRule="auto"/>
        <w:jc w:val="both"/>
        <w:rPr>
          <w:rFonts w:ascii="Arial" w:eastAsia="Arial" w:hAnsi="Arial" w:cs="Arial"/>
          <w:sz w:val="24"/>
          <w:szCs w:val="24"/>
        </w:rPr>
      </w:pPr>
    </w:p>
    <w:p w:rsidR="0045285D" w:rsidRPr="000C1180" w:rsidRDefault="00BA7515">
      <w:pPr>
        <w:spacing w:after="0" w:line="240" w:lineRule="auto"/>
        <w:jc w:val="both"/>
        <w:rPr>
          <w:rFonts w:ascii="Arial" w:eastAsia="Arial" w:hAnsi="Arial" w:cs="Arial"/>
          <w:sz w:val="24"/>
          <w:szCs w:val="24"/>
          <w:highlight w:val="white"/>
          <w:lang w:val="en-US"/>
        </w:rPr>
      </w:pPr>
      <w:r>
        <w:rPr>
          <w:rFonts w:ascii="Arial" w:eastAsia="Arial" w:hAnsi="Arial" w:cs="Arial"/>
          <w:sz w:val="24"/>
          <w:szCs w:val="24"/>
          <w:highlight w:val="white"/>
        </w:rPr>
        <w:t xml:space="preserve">THOMAS, J.R.; NELSON, J.K.; SILVERMAN, S.J. </w:t>
      </w:r>
      <w:r>
        <w:rPr>
          <w:rFonts w:ascii="Arial" w:eastAsia="Arial" w:hAnsi="Arial" w:cs="Arial"/>
          <w:b/>
          <w:sz w:val="24"/>
          <w:szCs w:val="24"/>
          <w:highlight w:val="white"/>
        </w:rPr>
        <w:t xml:space="preserve">Métodos de pesquisa em atividade física. </w:t>
      </w:r>
      <w:r w:rsidRPr="000C1180">
        <w:rPr>
          <w:rFonts w:ascii="Arial" w:eastAsia="Arial" w:hAnsi="Arial" w:cs="Arial"/>
          <w:sz w:val="24"/>
          <w:szCs w:val="24"/>
          <w:highlight w:val="white"/>
          <w:lang w:val="en-US"/>
        </w:rPr>
        <w:t xml:space="preserve">6ed. Porto Alegre: </w:t>
      </w:r>
      <w:proofErr w:type="spellStart"/>
      <w:r w:rsidRPr="000C1180">
        <w:rPr>
          <w:rFonts w:ascii="Arial" w:eastAsia="Arial" w:hAnsi="Arial" w:cs="Arial"/>
          <w:sz w:val="24"/>
          <w:szCs w:val="24"/>
          <w:highlight w:val="white"/>
          <w:lang w:val="en-US"/>
        </w:rPr>
        <w:t>Artmed</w:t>
      </w:r>
      <w:proofErr w:type="spellEnd"/>
      <w:r w:rsidRPr="000C1180">
        <w:rPr>
          <w:rFonts w:ascii="Arial" w:eastAsia="Arial" w:hAnsi="Arial" w:cs="Arial"/>
          <w:sz w:val="24"/>
          <w:szCs w:val="24"/>
          <w:highlight w:val="white"/>
          <w:lang w:val="en-US"/>
        </w:rPr>
        <w:t>. 2012.</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WORLD ANTI-DOPING AGENCY (WADA). </w:t>
      </w:r>
      <w:r w:rsidRPr="000C1180">
        <w:rPr>
          <w:rFonts w:ascii="Arial" w:eastAsia="Arial" w:hAnsi="Arial" w:cs="Arial"/>
          <w:b/>
          <w:sz w:val="24"/>
          <w:szCs w:val="24"/>
          <w:highlight w:val="white"/>
          <w:lang w:val="en-US"/>
        </w:rPr>
        <w:t>Prohibited list.</w:t>
      </w:r>
      <w:r w:rsidRPr="000C1180">
        <w:rPr>
          <w:rFonts w:ascii="Arial" w:eastAsia="Arial" w:hAnsi="Arial" w:cs="Arial"/>
          <w:sz w:val="24"/>
          <w:szCs w:val="24"/>
          <w:highlight w:val="white"/>
          <w:lang w:val="en-US"/>
        </w:rPr>
        <w:t xml:space="preserve"> </w:t>
      </w:r>
      <w:r>
        <w:rPr>
          <w:rFonts w:ascii="Arial" w:eastAsia="Arial" w:hAnsi="Arial" w:cs="Arial"/>
          <w:sz w:val="24"/>
          <w:szCs w:val="24"/>
          <w:highlight w:val="white"/>
        </w:rPr>
        <w:t>Disponível em:</w:t>
      </w:r>
      <w:r>
        <w:rPr>
          <w:rFonts w:ascii="Arial" w:eastAsia="Arial" w:hAnsi="Arial" w:cs="Arial"/>
          <w:sz w:val="24"/>
          <w:szCs w:val="24"/>
        </w:rPr>
        <w:t xml:space="preserve">http://www.wada-ama.org/rtecontent/document/end_steroids_aug_04.pdf. Acesso em: 28 de outubro de 2019. </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ZHANG, S.J.; FENG, S.C. Effects of saponins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on postprandial blood glucose levels in normal and type 2 diabetic rats. </w:t>
      </w:r>
      <w:proofErr w:type="spellStart"/>
      <w:r w:rsidRPr="000C1180">
        <w:rPr>
          <w:rFonts w:ascii="Arial" w:eastAsia="Arial" w:hAnsi="Arial" w:cs="Arial"/>
          <w:b/>
          <w:sz w:val="24"/>
          <w:szCs w:val="24"/>
          <w:highlight w:val="white"/>
          <w:lang w:val="en-US"/>
        </w:rPr>
        <w:t>Pract</w:t>
      </w:r>
      <w:proofErr w:type="spellEnd"/>
      <w:r w:rsidRPr="000C1180">
        <w:rPr>
          <w:rFonts w:ascii="Arial" w:eastAsia="Arial" w:hAnsi="Arial" w:cs="Arial"/>
          <w:b/>
          <w:sz w:val="24"/>
          <w:szCs w:val="24"/>
          <w:highlight w:val="white"/>
          <w:lang w:val="en-US"/>
        </w:rPr>
        <w:t xml:space="preserve"> Pharm Clin </w:t>
      </w:r>
      <w:proofErr w:type="spellStart"/>
      <w:r w:rsidRPr="000C1180">
        <w:rPr>
          <w:rFonts w:ascii="Arial" w:eastAsia="Arial" w:hAnsi="Arial" w:cs="Arial"/>
          <w:b/>
          <w:sz w:val="24"/>
          <w:szCs w:val="24"/>
          <w:highlight w:val="white"/>
          <w:lang w:val="en-US"/>
        </w:rPr>
        <w:t>Remed</w:t>
      </w:r>
      <w:proofErr w:type="spellEnd"/>
      <w:r w:rsidRPr="000C1180">
        <w:rPr>
          <w:rFonts w:ascii="Arial" w:eastAsia="Arial" w:hAnsi="Arial" w:cs="Arial"/>
          <w:sz w:val="24"/>
          <w:szCs w:val="24"/>
          <w:highlight w:val="white"/>
          <w:lang w:val="en-US"/>
        </w:rPr>
        <w:t>, v. 15, n. 1, p. 1–3, 2012.</w:t>
      </w:r>
    </w:p>
    <w:p w:rsidR="0045285D" w:rsidRPr="000C1180" w:rsidRDefault="00BA7515">
      <w:pPr>
        <w:spacing w:before="240" w:after="240" w:line="240" w:lineRule="auto"/>
        <w:jc w:val="both"/>
        <w:rPr>
          <w:rFonts w:ascii="Arial" w:eastAsia="Arial" w:hAnsi="Arial" w:cs="Arial"/>
          <w:sz w:val="24"/>
          <w:szCs w:val="24"/>
          <w:highlight w:val="white"/>
          <w:lang w:val="en-US"/>
        </w:rPr>
      </w:pPr>
      <w:r w:rsidRPr="000C1180">
        <w:rPr>
          <w:rFonts w:ascii="Arial" w:eastAsia="Arial" w:hAnsi="Arial" w:cs="Arial"/>
          <w:sz w:val="24"/>
          <w:szCs w:val="24"/>
          <w:highlight w:val="white"/>
          <w:lang w:val="en-US"/>
        </w:rPr>
        <w:t xml:space="preserve">ZHANG, S. et al. Influence of gross saponins from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preconditioning on myocardial ischemia-reperfusion injury. </w:t>
      </w:r>
      <w:r w:rsidRPr="000C1180">
        <w:rPr>
          <w:rFonts w:ascii="Arial" w:eastAsia="Arial" w:hAnsi="Arial" w:cs="Arial"/>
          <w:b/>
          <w:sz w:val="24"/>
          <w:szCs w:val="24"/>
          <w:highlight w:val="white"/>
          <w:lang w:val="en-US"/>
        </w:rPr>
        <w:t xml:space="preserve">Chin </w:t>
      </w:r>
      <w:proofErr w:type="spellStart"/>
      <w:r w:rsidRPr="000C1180">
        <w:rPr>
          <w:rFonts w:ascii="Arial" w:eastAsia="Arial" w:hAnsi="Arial" w:cs="Arial"/>
          <w:b/>
          <w:sz w:val="24"/>
          <w:szCs w:val="24"/>
          <w:highlight w:val="white"/>
          <w:lang w:val="en-US"/>
        </w:rPr>
        <w:t>Tradit</w:t>
      </w:r>
      <w:proofErr w:type="spellEnd"/>
      <w:r w:rsidRPr="000C1180">
        <w:rPr>
          <w:rFonts w:ascii="Arial" w:eastAsia="Arial" w:hAnsi="Arial" w:cs="Arial"/>
          <w:b/>
          <w:sz w:val="24"/>
          <w:szCs w:val="24"/>
          <w:highlight w:val="white"/>
          <w:lang w:val="en-US"/>
        </w:rPr>
        <w:t xml:space="preserve"> Herbal Drugs</w:t>
      </w:r>
      <w:r w:rsidRPr="000C1180">
        <w:rPr>
          <w:rFonts w:ascii="Arial" w:eastAsia="Arial" w:hAnsi="Arial" w:cs="Arial"/>
          <w:sz w:val="24"/>
          <w:szCs w:val="24"/>
          <w:highlight w:val="white"/>
          <w:lang w:val="en-US"/>
        </w:rPr>
        <w:t>, v. 41, n. 6, p. 959–963, 2010.</w:t>
      </w:r>
    </w:p>
    <w:p w:rsidR="0045285D" w:rsidRDefault="00BA7515">
      <w:pPr>
        <w:spacing w:before="240" w:after="240" w:line="240" w:lineRule="auto"/>
        <w:jc w:val="both"/>
        <w:rPr>
          <w:rFonts w:ascii="Arial" w:eastAsia="Arial" w:hAnsi="Arial" w:cs="Arial"/>
          <w:sz w:val="24"/>
          <w:szCs w:val="24"/>
          <w:highlight w:val="white"/>
        </w:rPr>
      </w:pPr>
      <w:r w:rsidRPr="000C1180">
        <w:rPr>
          <w:rFonts w:ascii="Arial" w:eastAsia="Arial" w:hAnsi="Arial" w:cs="Arial"/>
          <w:sz w:val="24"/>
          <w:szCs w:val="24"/>
          <w:highlight w:val="white"/>
          <w:lang w:val="en-US"/>
        </w:rPr>
        <w:t xml:space="preserve">ZHU, W. et al. A review of traditional pharmacological uses, phytochemistry, and pharmacological activities of Tribulus </w:t>
      </w:r>
      <w:proofErr w:type="spellStart"/>
      <w:r w:rsidRPr="000C1180">
        <w:rPr>
          <w:rFonts w:ascii="Arial" w:eastAsia="Arial" w:hAnsi="Arial" w:cs="Arial"/>
          <w:sz w:val="24"/>
          <w:szCs w:val="24"/>
          <w:highlight w:val="white"/>
          <w:lang w:val="en-US"/>
        </w:rPr>
        <w:t>terrestris</w:t>
      </w:r>
      <w:proofErr w:type="spellEnd"/>
      <w:r w:rsidRPr="000C1180">
        <w:rPr>
          <w:rFonts w:ascii="Arial" w:eastAsia="Arial" w:hAnsi="Arial" w:cs="Arial"/>
          <w:sz w:val="24"/>
          <w:szCs w:val="24"/>
          <w:highlight w:val="white"/>
          <w:lang w:val="en-US"/>
        </w:rPr>
        <w:t xml:space="preserve">. </w:t>
      </w:r>
      <w:proofErr w:type="spellStart"/>
      <w:r>
        <w:rPr>
          <w:rFonts w:ascii="Arial" w:eastAsia="Arial" w:hAnsi="Arial" w:cs="Arial"/>
          <w:b/>
          <w:sz w:val="24"/>
          <w:szCs w:val="24"/>
          <w:highlight w:val="white"/>
        </w:rPr>
        <w:t>Chemistry</w:t>
      </w:r>
      <w:proofErr w:type="spellEnd"/>
      <w:r>
        <w:rPr>
          <w:rFonts w:ascii="Arial" w:eastAsia="Arial" w:hAnsi="Arial" w:cs="Arial"/>
          <w:b/>
          <w:sz w:val="24"/>
          <w:szCs w:val="24"/>
          <w:highlight w:val="white"/>
        </w:rPr>
        <w:t xml:space="preserve"> Central </w:t>
      </w:r>
      <w:proofErr w:type="spellStart"/>
      <w:r>
        <w:rPr>
          <w:rFonts w:ascii="Arial" w:eastAsia="Arial" w:hAnsi="Arial" w:cs="Arial"/>
          <w:b/>
          <w:sz w:val="24"/>
          <w:szCs w:val="24"/>
          <w:highlight w:val="white"/>
        </w:rPr>
        <w:t>Journal</w:t>
      </w:r>
      <w:proofErr w:type="spellEnd"/>
      <w:r>
        <w:rPr>
          <w:rFonts w:ascii="Arial" w:eastAsia="Arial" w:hAnsi="Arial" w:cs="Arial"/>
          <w:sz w:val="24"/>
          <w:szCs w:val="24"/>
          <w:highlight w:val="white"/>
        </w:rPr>
        <w:t>, v. 11, n. 60, p. 1-16, 2017.</w:t>
      </w:r>
    </w:p>
    <w:p w:rsidR="0045285D" w:rsidRDefault="0045285D">
      <w:pPr>
        <w:spacing w:after="0" w:line="240" w:lineRule="auto"/>
        <w:jc w:val="both"/>
        <w:rPr>
          <w:rFonts w:ascii="Arial" w:eastAsia="Arial" w:hAnsi="Arial" w:cs="Arial"/>
          <w:sz w:val="24"/>
          <w:szCs w:val="24"/>
          <w:highlight w:val="white"/>
        </w:rPr>
      </w:pPr>
    </w:p>
    <w:p w:rsidR="0045285D" w:rsidRPr="000C1180" w:rsidRDefault="00BA7515" w:rsidP="000C1180">
      <w:pPr>
        <w:pBdr>
          <w:top w:val="nil"/>
          <w:left w:val="nil"/>
          <w:bottom w:val="nil"/>
          <w:right w:val="nil"/>
          <w:between w:val="nil"/>
        </w:pBdr>
        <w:spacing w:after="120" w:line="360" w:lineRule="auto"/>
        <w:jc w:val="both"/>
        <w:rPr>
          <w:rFonts w:ascii="Arial" w:eastAsia="Arial" w:hAnsi="Arial" w:cs="Arial"/>
          <w:color w:val="000000"/>
        </w:rPr>
      </w:pPr>
      <w:r>
        <w:rPr>
          <w:rFonts w:ascii="Arial" w:eastAsia="Arial" w:hAnsi="Arial" w:cs="Arial"/>
          <w:b/>
          <w:color w:val="000000"/>
        </w:rPr>
        <w:t xml:space="preserve">Contatos: </w:t>
      </w:r>
      <w:r>
        <w:rPr>
          <w:rFonts w:ascii="Arial" w:eastAsia="Arial" w:hAnsi="Arial" w:cs="Arial"/>
          <w:color w:val="000000"/>
        </w:rPr>
        <w:t>leticiatedorenko@icloud.com e ericocaperuto@gmail.com</w:t>
      </w:r>
    </w:p>
    <w:sectPr w:rsidR="0045285D" w:rsidRPr="000C1180" w:rsidSect="00EC5A9F">
      <w:headerReference w:type="even" r:id="rId18"/>
      <w:headerReference w:type="default" r:id="rId19"/>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9F1" w:rsidRDefault="00F749F1">
      <w:pPr>
        <w:spacing w:after="0" w:line="240" w:lineRule="auto"/>
      </w:pPr>
      <w:r>
        <w:separator/>
      </w:r>
    </w:p>
  </w:endnote>
  <w:endnote w:type="continuationSeparator" w:id="0">
    <w:p w:rsidR="00F749F1" w:rsidRDefault="00F74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9F1" w:rsidRDefault="00F749F1">
      <w:pPr>
        <w:spacing w:after="0" w:line="240" w:lineRule="auto"/>
      </w:pPr>
      <w:r>
        <w:separator/>
      </w:r>
    </w:p>
  </w:footnote>
  <w:footnote w:type="continuationSeparator" w:id="0">
    <w:p w:rsidR="00F749F1" w:rsidRDefault="00F74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85D" w:rsidRDefault="00BA7515">
    <w:pPr>
      <w:pBdr>
        <w:top w:val="nil"/>
        <w:left w:val="nil"/>
        <w:bottom w:val="single" w:sz="4" w:space="1" w:color="000000"/>
        <w:right w:val="nil"/>
        <w:between w:val="nil"/>
      </w:pBdr>
      <w:tabs>
        <w:tab w:val="center" w:pos="4252"/>
        <w:tab w:val="right" w:pos="8504"/>
      </w:tabs>
      <w:spacing w:after="0" w:line="240" w:lineRule="auto"/>
      <w:jc w:val="right"/>
      <w:rPr>
        <w:rFonts w:ascii="Arial" w:eastAsia="Arial" w:hAnsi="Arial" w:cs="Arial"/>
        <w:i/>
        <w:color w:val="000000"/>
        <w:sz w:val="18"/>
        <w:szCs w:val="18"/>
      </w:rPr>
    </w:pPr>
    <w:r>
      <w:rPr>
        <w:rFonts w:ascii="Arial" w:eastAsia="Arial" w:hAnsi="Arial" w:cs="Arial"/>
        <w:i/>
        <w:color w:val="000000"/>
        <w:sz w:val="18"/>
        <w:szCs w:val="18"/>
      </w:rPr>
      <w:t>XVI Jornada de Iniciação Científica e X Mostra de Iniciação Tecnológica - 2020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85D" w:rsidRDefault="00BA7515">
    <w:pPr>
      <w:pBdr>
        <w:top w:val="nil"/>
        <w:left w:val="nil"/>
        <w:bottom w:val="single" w:sz="4" w:space="1" w:color="000000"/>
        <w:right w:val="nil"/>
        <w:between w:val="nil"/>
      </w:pBdr>
      <w:tabs>
        <w:tab w:val="center" w:pos="4252"/>
        <w:tab w:val="right" w:pos="8504"/>
      </w:tabs>
      <w:spacing w:after="0" w:line="240" w:lineRule="auto"/>
      <w:jc w:val="right"/>
      <w:rPr>
        <w:rFonts w:ascii="Arial" w:eastAsia="Arial" w:hAnsi="Arial" w:cs="Arial"/>
        <w:i/>
        <w:color w:val="000000"/>
        <w:sz w:val="18"/>
        <w:szCs w:val="18"/>
      </w:rPr>
    </w:pPr>
    <w:r>
      <w:rPr>
        <w:rFonts w:ascii="Arial" w:eastAsia="Arial" w:hAnsi="Arial" w:cs="Arial"/>
        <w:i/>
        <w:color w:val="000000"/>
        <w:sz w:val="18"/>
        <w:szCs w:val="18"/>
      </w:rPr>
      <w:t xml:space="preserve">Universidade Presbiteriana Mackenzie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C393B"/>
    <w:multiLevelType w:val="multilevel"/>
    <w:tmpl w:val="AEA44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5D"/>
    <w:rsid w:val="0004252F"/>
    <w:rsid w:val="000C1180"/>
    <w:rsid w:val="0045285D"/>
    <w:rsid w:val="00837F8E"/>
    <w:rsid w:val="00BA7515"/>
    <w:rsid w:val="00C9786B"/>
    <w:rsid w:val="00CA10E1"/>
    <w:rsid w:val="00EC5A9F"/>
    <w:rsid w:val="00F749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27C50-287F-4BAB-8D2A-BFCFEDBD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86B"/>
  </w:style>
  <w:style w:type="paragraph" w:styleId="Ttulo1">
    <w:name w:val="heading 1"/>
    <w:basedOn w:val="Normal"/>
    <w:next w:val="Normal"/>
    <w:rsid w:val="00C9786B"/>
    <w:pPr>
      <w:keepNext/>
      <w:keepLines/>
      <w:spacing w:before="480" w:after="120"/>
      <w:outlineLvl w:val="0"/>
    </w:pPr>
    <w:rPr>
      <w:b/>
      <w:sz w:val="48"/>
      <w:szCs w:val="48"/>
    </w:rPr>
  </w:style>
  <w:style w:type="paragraph" w:styleId="Ttulo2">
    <w:name w:val="heading 2"/>
    <w:basedOn w:val="Normal"/>
    <w:next w:val="Normal"/>
    <w:rsid w:val="00C9786B"/>
    <w:pPr>
      <w:keepNext/>
      <w:keepLines/>
      <w:spacing w:before="360" w:after="80"/>
      <w:outlineLvl w:val="1"/>
    </w:pPr>
    <w:rPr>
      <w:b/>
      <w:sz w:val="36"/>
      <w:szCs w:val="36"/>
    </w:rPr>
  </w:style>
  <w:style w:type="paragraph" w:styleId="Ttulo3">
    <w:name w:val="heading 3"/>
    <w:basedOn w:val="Normal"/>
    <w:next w:val="Normal"/>
    <w:rsid w:val="00C9786B"/>
    <w:pPr>
      <w:keepNext/>
      <w:keepLines/>
      <w:spacing w:before="280" w:after="80"/>
      <w:outlineLvl w:val="2"/>
    </w:pPr>
    <w:rPr>
      <w:b/>
      <w:sz w:val="28"/>
      <w:szCs w:val="28"/>
    </w:rPr>
  </w:style>
  <w:style w:type="paragraph" w:styleId="Ttulo4">
    <w:name w:val="heading 4"/>
    <w:basedOn w:val="Normal"/>
    <w:next w:val="Normal"/>
    <w:rsid w:val="00C9786B"/>
    <w:pPr>
      <w:keepNext/>
      <w:keepLines/>
      <w:spacing w:before="240" w:after="40"/>
      <w:outlineLvl w:val="3"/>
    </w:pPr>
    <w:rPr>
      <w:b/>
      <w:sz w:val="24"/>
      <w:szCs w:val="24"/>
    </w:rPr>
  </w:style>
  <w:style w:type="paragraph" w:styleId="Ttulo5">
    <w:name w:val="heading 5"/>
    <w:basedOn w:val="Normal"/>
    <w:next w:val="Normal"/>
    <w:rsid w:val="00C9786B"/>
    <w:pPr>
      <w:keepNext/>
      <w:keepLines/>
      <w:spacing w:before="220" w:after="40"/>
      <w:outlineLvl w:val="4"/>
    </w:pPr>
    <w:rPr>
      <w:b/>
    </w:rPr>
  </w:style>
  <w:style w:type="paragraph" w:styleId="Ttulo6">
    <w:name w:val="heading 6"/>
    <w:basedOn w:val="Normal"/>
    <w:next w:val="Normal"/>
    <w:rsid w:val="00C9786B"/>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C9786B"/>
    <w:tblPr>
      <w:tblCellMar>
        <w:top w:w="0" w:type="dxa"/>
        <w:left w:w="0" w:type="dxa"/>
        <w:bottom w:w="0" w:type="dxa"/>
        <w:right w:w="0" w:type="dxa"/>
      </w:tblCellMar>
    </w:tblPr>
  </w:style>
  <w:style w:type="paragraph" w:styleId="Ttulo">
    <w:name w:val="Title"/>
    <w:basedOn w:val="Normal"/>
    <w:next w:val="Normal"/>
    <w:rsid w:val="00C9786B"/>
    <w:pPr>
      <w:keepNext/>
      <w:keepLines/>
      <w:spacing w:before="480" w:after="120"/>
    </w:pPr>
    <w:rPr>
      <w:b/>
      <w:sz w:val="72"/>
      <w:szCs w:val="72"/>
    </w:rPr>
  </w:style>
  <w:style w:type="paragraph" w:customStyle="1" w:styleId="1titulo">
    <w:name w:val="_1_titulo"/>
    <w:basedOn w:val="Normal"/>
    <w:link w:val="1tituloChar"/>
    <w:qFormat/>
    <w:rsid w:val="00B122D5"/>
    <w:pPr>
      <w:spacing w:after="120" w:line="276" w:lineRule="auto"/>
      <w:jc w:val="both"/>
    </w:pPr>
    <w:rPr>
      <w:rFonts w:ascii="Arial" w:hAnsi="Arial"/>
      <w:b/>
      <w:caps/>
      <w:color w:val="2E74B5" w:themeColor="accent1" w:themeShade="BF"/>
      <w:sz w:val="24"/>
    </w:rPr>
  </w:style>
  <w:style w:type="character" w:customStyle="1" w:styleId="1tituloChar">
    <w:name w:val="_1_titulo Char"/>
    <w:basedOn w:val="Fontepargpadro"/>
    <w:link w:val="1titulo"/>
    <w:rsid w:val="00B122D5"/>
    <w:rPr>
      <w:rFonts w:ascii="Arial" w:hAnsi="Arial"/>
      <w:b/>
      <w:caps/>
      <w:color w:val="2E74B5" w:themeColor="accent1" w:themeShade="BF"/>
      <w:sz w:val="24"/>
    </w:rPr>
  </w:style>
  <w:style w:type="paragraph" w:customStyle="1" w:styleId="5pctx">
    <w:name w:val="_5_pc_tx"/>
    <w:basedOn w:val="Normal"/>
    <w:rsid w:val="00B122D5"/>
    <w:pPr>
      <w:spacing w:before="240" w:after="0" w:line="240" w:lineRule="auto"/>
      <w:jc w:val="both"/>
    </w:pPr>
    <w:rPr>
      <w:rFonts w:ascii="Arial" w:hAnsi="Arial"/>
      <w:sz w:val="20"/>
    </w:rPr>
  </w:style>
  <w:style w:type="paragraph" w:customStyle="1" w:styleId="2autores">
    <w:name w:val="_2_autores"/>
    <w:basedOn w:val="5pctx"/>
    <w:qFormat/>
    <w:rsid w:val="00B122D5"/>
    <w:pPr>
      <w:spacing w:before="120"/>
    </w:pPr>
  </w:style>
  <w:style w:type="paragraph" w:customStyle="1" w:styleId="3ra">
    <w:name w:val="_3_r/a"/>
    <w:basedOn w:val="Normal"/>
    <w:link w:val="3raChar"/>
    <w:qFormat/>
    <w:rsid w:val="00B122D5"/>
    <w:pPr>
      <w:spacing w:before="360" w:after="120" w:line="360" w:lineRule="auto"/>
      <w:jc w:val="both"/>
    </w:pPr>
    <w:rPr>
      <w:rFonts w:ascii="Arial" w:hAnsi="Arial"/>
      <w:b/>
    </w:rPr>
  </w:style>
  <w:style w:type="character" w:customStyle="1" w:styleId="3raChar">
    <w:name w:val="_3_r/a Char"/>
    <w:basedOn w:val="Fontepargpadro"/>
    <w:link w:val="3ra"/>
    <w:rsid w:val="00B122D5"/>
    <w:rPr>
      <w:rFonts w:ascii="Arial" w:hAnsi="Arial"/>
      <w:b/>
    </w:rPr>
  </w:style>
  <w:style w:type="paragraph" w:customStyle="1" w:styleId="4ratx">
    <w:name w:val="_4_r/a_tx"/>
    <w:basedOn w:val="3ra"/>
    <w:link w:val="4ratxChar"/>
    <w:qFormat/>
    <w:rsid w:val="00B122D5"/>
    <w:pPr>
      <w:spacing w:before="0" w:after="0"/>
    </w:pPr>
    <w:rPr>
      <w:b w:val="0"/>
      <w:sz w:val="20"/>
    </w:rPr>
  </w:style>
  <w:style w:type="character" w:customStyle="1" w:styleId="4ratxChar">
    <w:name w:val="_4_r/a_tx Char"/>
    <w:basedOn w:val="3raChar"/>
    <w:link w:val="4ratx"/>
    <w:rsid w:val="00B122D5"/>
    <w:rPr>
      <w:rFonts w:ascii="Arial" w:hAnsi="Arial"/>
      <w:b w:val="0"/>
      <w:sz w:val="20"/>
    </w:rPr>
  </w:style>
  <w:style w:type="paragraph" w:customStyle="1" w:styleId="6contatotx">
    <w:name w:val="_6_contato_tx"/>
    <w:basedOn w:val="Normal"/>
    <w:qFormat/>
    <w:rsid w:val="00B122D5"/>
    <w:pPr>
      <w:spacing w:before="600" w:after="0" w:line="240" w:lineRule="auto"/>
      <w:jc w:val="both"/>
    </w:pPr>
    <w:rPr>
      <w:rFonts w:ascii="Arial" w:hAnsi="Arial"/>
    </w:rPr>
  </w:style>
  <w:style w:type="paragraph" w:styleId="Cabealho">
    <w:name w:val="header"/>
    <w:basedOn w:val="Normal"/>
    <w:link w:val="CabealhoChar"/>
    <w:uiPriority w:val="99"/>
    <w:unhideWhenUsed/>
    <w:rsid w:val="003B20D6"/>
    <w:pPr>
      <w:pBdr>
        <w:bottom w:val="single" w:sz="4" w:space="1" w:color="auto"/>
      </w:pBdr>
      <w:tabs>
        <w:tab w:val="center" w:pos="4252"/>
        <w:tab w:val="right" w:pos="8504"/>
      </w:tabs>
      <w:spacing w:after="0" w:line="240" w:lineRule="auto"/>
      <w:jc w:val="right"/>
    </w:pPr>
    <w:rPr>
      <w:rFonts w:ascii="Arial" w:hAnsi="Arial"/>
      <w:i/>
      <w:sz w:val="18"/>
    </w:rPr>
  </w:style>
  <w:style w:type="character" w:customStyle="1" w:styleId="CabealhoChar">
    <w:name w:val="Cabeçalho Char"/>
    <w:basedOn w:val="Fontepargpadro"/>
    <w:link w:val="Cabealho"/>
    <w:uiPriority w:val="99"/>
    <w:rsid w:val="003B20D6"/>
    <w:rPr>
      <w:rFonts w:ascii="Arial" w:hAnsi="Arial"/>
      <w:i/>
      <w:sz w:val="18"/>
    </w:rPr>
  </w:style>
  <w:style w:type="paragraph" w:styleId="Rodap">
    <w:name w:val="footer"/>
    <w:basedOn w:val="Normal"/>
    <w:link w:val="RodapChar"/>
    <w:uiPriority w:val="99"/>
    <w:unhideWhenUsed/>
    <w:rsid w:val="007B31F6"/>
    <w:pPr>
      <w:tabs>
        <w:tab w:val="center" w:pos="4252"/>
        <w:tab w:val="right" w:pos="8504"/>
      </w:tabs>
      <w:spacing w:after="0" w:line="240" w:lineRule="auto"/>
    </w:pPr>
  </w:style>
  <w:style w:type="character" w:customStyle="1" w:styleId="RodapChar">
    <w:name w:val="Rodapé Char"/>
    <w:basedOn w:val="Fontepargpadro"/>
    <w:link w:val="Rodap"/>
    <w:uiPriority w:val="99"/>
    <w:rsid w:val="007B31F6"/>
  </w:style>
  <w:style w:type="character" w:styleId="TextodoEspaoReservado">
    <w:name w:val="Placeholder Text"/>
    <w:basedOn w:val="Fontepargpadro"/>
    <w:uiPriority w:val="99"/>
    <w:semiHidden/>
    <w:rsid w:val="007B31F6"/>
    <w:rPr>
      <w:color w:val="808080"/>
    </w:rPr>
  </w:style>
  <w:style w:type="table" w:styleId="Tabelacomgrade">
    <w:name w:val="Table Grid"/>
    <w:basedOn w:val="Tabelanormal"/>
    <w:uiPriority w:val="59"/>
    <w:rsid w:val="001E110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1359F"/>
    <w:rPr>
      <w:color w:val="0563C1" w:themeColor="hyperlink"/>
      <w:u w:val="single"/>
    </w:rPr>
  </w:style>
  <w:style w:type="paragraph" w:styleId="PargrafodaLista">
    <w:name w:val="List Paragraph"/>
    <w:basedOn w:val="Normal"/>
    <w:uiPriority w:val="34"/>
    <w:qFormat/>
    <w:rsid w:val="00B34E38"/>
    <w:pPr>
      <w:ind w:left="720"/>
      <w:contextualSpacing/>
    </w:pPr>
  </w:style>
  <w:style w:type="paragraph" w:styleId="Subttulo">
    <w:name w:val="Subtitle"/>
    <w:basedOn w:val="Normal"/>
    <w:next w:val="Normal"/>
    <w:rsid w:val="00C9786B"/>
    <w:pPr>
      <w:keepNext/>
      <w:keepLines/>
      <w:spacing w:before="360" w:after="80"/>
    </w:pPr>
    <w:rPr>
      <w:rFonts w:ascii="Georgia" w:eastAsia="Georgia" w:hAnsi="Georgia" w:cs="Georgia"/>
      <w:i/>
      <w:color w:val="666666"/>
      <w:sz w:val="48"/>
      <w:szCs w:val="48"/>
    </w:rPr>
  </w:style>
  <w:style w:type="table" w:customStyle="1" w:styleId="a">
    <w:basedOn w:val="TableNormal"/>
    <w:rsid w:val="00C9786B"/>
    <w:pPr>
      <w:spacing w:after="0" w:line="240" w:lineRule="auto"/>
    </w:pPr>
    <w:rPr>
      <w:sz w:val="24"/>
      <w:szCs w:val="24"/>
    </w:rPr>
    <w:tblPr>
      <w:tblStyleRowBandSize w:val="1"/>
      <w:tblStyleColBandSize w:val="1"/>
      <w:tblCellMar>
        <w:left w:w="108" w:type="dxa"/>
        <w:right w:w="108" w:type="dxa"/>
      </w:tblCellMar>
    </w:tblPr>
  </w:style>
  <w:style w:type="table" w:customStyle="1" w:styleId="a0">
    <w:basedOn w:val="TableNormal"/>
    <w:rsid w:val="00C9786B"/>
    <w:pPr>
      <w:spacing w:after="0" w:line="240" w:lineRule="auto"/>
    </w:pPr>
    <w:rPr>
      <w:sz w:val="24"/>
      <w:szCs w:val="24"/>
    </w:rPr>
    <w:tblPr>
      <w:tblStyleRowBandSize w:val="1"/>
      <w:tblStyleColBandSize w:val="1"/>
      <w:tblCellMar>
        <w:left w:w="108" w:type="dxa"/>
        <w:right w:w="108" w:type="dxa"/>
      </w:tblCellMar>
    </w:tblPr>
  </w:style>
  <w:style w:type="table" w:customStyle="1" w:styleId="a1">
    <w:basedOn w:val="TableNormal"/>
    <w:rsid w:val="00C9786B"/>
    <w:pPr>
      <w:spacing w:after="0" w:line="240" w:lineRule="auto"/>
    </w:pPr>
    <w:rPr>
      <w:sz w:val="24"/>
      <w:szCs w:val="24"/>
    </w:rPr>
    <w:tblPr>
      <w:tblStyleRowBandSize w:val="1"/>
      <w:tblStyleColBandSize w:val="1"/>
      <w:tblCellMar>
        <w:left w:w="108" w:type="dxa"/>
        <w:right w:w="108" w:type="dxa"/>
      </w:tblCellMar>
    </w:tblPr>
  </w:style>
  <w:style w:type="table" w:customStyle="1" w:styleId="a2">
    <w:basedOn w:val="TableNormal"/>
    <w:rsid w:val="00C9786B"/>
    <w:pPr>
      <w:spacing w:after="0" w:line="240" w:lineRule="auto"/>
    </w:pPr>
    <w:rPr>
      <w:sz w:val="24"/>
      <w:szCs w:val="24"/>
    </w:rPr>
    <w:tblPr>
      <w:tblStyleRowBandSize w:val="1"/>
      <w:tblStyleColBandSize w:val="1"/>
      <w:tblCellMar>
        <w:left w:w="108" w:type="dxa"/>
        <w:right w:w="108" w:type="dxa"/>
      </w:tblCellMar>
    </w:tblPr>
  </w:style>
  <w:style w:type="paragraph" w:styleId="Textodebalo">
    <w:name w:val="Balloon Text"/>
    <w:basedOn w:val="Normal"/>
    <w:link w:val="TextodebaloChar"/>
    <w:uiPriority w:val="99"/>
    <w:semiHidden/>
    <w:unhideWhenUsed/>
    <w:rsid w:val="000C118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C11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ncbi.nlm.nih.gov/pubmed/2455910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bi.nlm.nih.gov/pubmed/26059364" TargetMode="External"/><Relationship Id="rId17" Type="http://schemas.openxmlformats.org/officeDocument/2006/relationships/hyperlink" Target="https://www.ncbi.nlm.nih.gov/pubmed/24559105" TargetMode="External"/><Relationship Id="rId2" Type="http://schemas.openxmlformats.org/officeDocument/2006/relationships/numbering" Target="numbering.xml"/><Relationship Id="rId16" Type="http://schemas.openxmlformats.org/officeDocument/2006/relationships/hyperlink" Target="https://www.ncbi.nlm.nih.gov/pubmed/2455910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26059364" TargetMode="External"/><Relationship Id="rId5" Type="http://schemas.openxmlformats.org/officeDocument/2006/relationships/webSettings" Target="webSettings.xml"/><Relationship Id="rId15" Type="http://schemas.openxmlformats.org/officeDocument/2006/relationships/hyperlink" Target="https://www.ncbi.nlm.nih.gov/pubmed/24559105" TargetMode="External"/><Relationship Id="rId10" Type="http://schemas.openxmlformats.org/officeDocument/2006/relationships/hyperlink" Target="https://www.ncbi.nlm.nih.gov/pubmed/2605936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ncbi.nlm.nih.gov/pubmed/24559105"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GYUMos2eKkIdqE8wXdwBYFp6nA==">AMUW2mWBhRtbVz07oS/RVmjCfxWIGYnycviRMLPydupnZCUlT40CQWCtZPluhW5scrG+1/r06fCTlTkb2p0jyatURrWus/QTu8MMFCcAYR2/uribkrdBBe+iskLsKvgw+8ZLrdydClG5ZcL91gbprWSSns+ppJ9Btw3uWp72s+oQVSl9kKXpaNkubEBtp9QfqDctUbXeCTUy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5705</Words>
  <Characters>30807</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Rosemeire Zupo Bernardo</dc:creator>
  <cp:lastModifiedBy>ROSEMEIRE ZUPO BERNARDO</cp:lastModifiedBy>
  <cp:revision>3</cp:revision>
  <dcterms:created xsi:type="dcterms:W3CDTF">2019-11-01T12:13:00Z</dcterms:created>
  <dcterms:modified xsi:type="dcterms:W3CDTF">2019-11-07T13:26:00Z</dcterms:modified>
</cp:coreProperties>
</file>